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2B2D34"/>
        </w:rPr>
        <w:t>FORM 10-Q</w:t>
      </w:r>
    </w:p>
    <w:p>
      <w:pPr>
        <w:spacing w:after="0" w:line="251" w:lineRule="exact"/>
        <w:rPr>
          <w:sz w:val="24"/>
          <w:szCs w:val="24"/>
          <w:color w:val="auto"/>
        </w:rPr>
      </w:pPr>
    </w:p>
    <w:p>
      <w:pPr>
        <w:ind w:left="19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QUARTERLY REPORT PURSUANT TO SECTION 13 OR 15(d) OF THE SECURITIES EXCHANGE ACT OF 1934</w:t>
      </w:r>
    </w:p>
    <w:p>
      <w:pPr>
        <w:spacing w:after="0" w:line="72"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For the quarterly period ended March 31, 2025</w:t>
      </w:r>
    </w:p>
    <w:p>
      <w:pPr>
        <w:spacing w:after="0" w:line="15" w:lineRule="exact"/>
        <w:rPr>
          <w:sz w:val="24"/>
          <w:szCs w:val="24"/>
          <w:color w:val="auto"/>
        </w:rPr>
      </w:pPr>
    </w:p>
    <w:p>
      <w:pPr>
        <w:ind w:left="5520"/>
        <w:spacing w:after="0"/>
        <w:rPr>
          <w:sz w:val="20"/>
          <w:szCs w:val="20"/>
          <w:color w:val="auto"/>
        </w:rPr>
      </w:pPr>
      <w:r>
        <w:rPr>
          <w:rFonts w:ascii="Arial" w:cs="Arial" w:eastAsia="Arial" w:hAnsi="Arial"/>
          <w:sz w:val="14"/>
          <w:szCs w:val="14"/>
          <w:color w:val="auto"/>
        </w:rPr>
        <w:t>OR</w:t>
      </w:r>
    </w:p>
    <w:p>
      <w:pPr>
        <w:spacing w:after="0" w:line="23" w:lineRule="exact"/>
        <w:rPr>
          <w:sz w:val="24"/>
          <w:szCs w:val="24"/>
          <w:color w:val="auto"/>
        </w:rPr>
      </w:pPr>
    </w:p>
    <w:p>
      <w:pPr>
        <w:jc w:val="center"/>
        <w:ind w:right="-19"/>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TRANSITION REPORT PURSUANT TO SECTION 13 OR 15(d) 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001-37835</w:t>
      </w:r>
    </w:p>
    <w:p>
      <w:pPr>
        <w:spacing w:after="0" w:line="114"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Indivior PLC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2B2D34"/>
        </w:rPr>
        <w:t>(Exact name of registrant as specified in its charter)</w:t>
      </w:r>
    </w:p>
    <w:p>
      <w:pPr>
        <w:spacing w:after="0" w:line="259"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2760" w:type="dxa"/>
            <w:vAlign w:val="bottom"/>
            <w:gridSpan w:val="2"/>
          </w:tcPr>
          <w:p>
            <w:pPr>
              <w:jc w:val="center"/>
              <w:ind w:right="1220"/>
              <w:spacing w:after="0"/>
              <w:rPr>
                <w:sz w:val="20"/>
                <w:szCs w:val="20"/>
                <w:color w:val="auto"/>
              </w:rPr>
            </w:pPr>
            <w:r>
              <w:rPr>
                <w:rFonts w:ascii="Arial" w:cs="Arial" w:eastAsia="Arial" w:hAnsi="Arial"/>
                <w:sz w:val="18"/>
                <w:szCs w:val="18"/>
                <w:color w:val="auto"/>
                <w:w w:val="98"/>
              </w:rPr>
              <w:t>England and Wales</w:t>
            </w:r>
          </w:p>
        </w:tc>
        <w:tc>
          <w:tcPr>
            <w:tcW w:w="2600" w:type="dxa"/>
            <w:vAlign w:val="bottom"/>
          </w:tcPr>
          <w:p>
            <w:pPr>
              <w:spacing w:after="0"/>
              <w:rPr>
                <w:sz w:val="17"/>
                <w:szCs w:val="17"/>
                <w:color w:val="auto"/>
              </w:rPr>
            </w:pPr>
          </w:p>
        </w:tc>
        <w:tc>
          <w:tcPr>
            <w:tcW w:w="4620" w:type="dxa"/>
            <w:vAlign w:val="bottom"/>
          </w:tcPr>
          <w:p>
            <w:pPr>
              <w:jc w:val="right"/>
              <w:ind w:right="938"/>
              <w:spacing w:after="0"/>
              <w:rPr>
                <w:sz w:val="20"/>
                <w:szCs w:val="20"/>
                <w:color w:val="auto"/>
              </w:rPr>
            </w:pPr>
            <w:r>
              <w:rPr>
                <w:rFonts w:ascii="Arial" w:cs="Arial" w:eastAsia="Arial" w:hAnsi="Arial"/>
                <w:sz w:val="18"/>
                <w:szCs w:val="18"/>
                <w:color w:val="auto"/>
              </w:rPr>
              <w:t>98-1204773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620" w:type="dxa"/>
            <w:vAlign w:val="bottom"/>
            <w:gridSpan w:val="3"/>
          </w:tcPr>
          <w:p>
            <w:pPr>
              <w:spacing w:after="0" w:line="181" w:lineRule="exact"/>
              <w:rPr>
                <w:sz w:val="20"/>
                <w:szCs w:val="20"/>
                <w:color w:val="auto"/>
              </w:rPr>
            </w:pPr>
            <w:r>
              <w:rPr>
                <w:rFonts w:ascii="Arial" w:cs="Arial" w:eastAsia="Arial" w:hAnsi="Arial"/>
                <w:sz w:val="16"/>
                <w:szCs w:val="16"/>
                <w:color w:val="auto"/>
              </w:rPr>
              <w:t xml:space="preserve">State or other jurisdiction of </w:t>
            </w:r>
            <w:r>
              <w:rPr>
                <w:rFonts w:ascii="Arial" w:cs="Arial" w:eastAsia="Arial" w:hAnsi="Arial"/>
                <w:sz w:val="16"/>
                <w:szCs w:val="16"/>
                <w:b w:val="1"/>
                <w:bCs w:val="1"/>
                <w:color w:val="2B2D34"/>
              </w:rPr>
              <w:t>incorporation or</w:t>
            </w:r>
          </w:p>
        </w:tc>
        <w:tc>
          <w:tcPr>
            <w:tcW w:w="2600" w:type="dxa"/>
            <w:vAlign w:val="bottom"/>
          </w:tcPr>
          <w:p>
            <w:pPr>
              <w:spacing w:after="0"/>
              <w:rPr>
                <w:sz w:val="15"/>
                <w:szCs w:val="15"/>
                <w:color w:val="auto"/>
              </w:rPr>
            </w:pPr>
          </w:p>
        </w:tc>
        <w:tc>
          <w:tcPr>
            <w:tcW w:w="4620" w:type="dxa"/>
            <w:vAlign w:val="bottom"/>
          </w:tcPr>
          <w:p>
            <w:pPr>
              <w:jc w:val="center"/>
              <w:ind w:left="1538"/>
              <w:spacing w:after="0" w:line="181" w:lineRule="exact"/>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2760" w:type="dxa"/>
            <w:vAlign w:val="bottom"/>
            <w:gridSpan w:val="2"/>
          </w:tcPr>
          <w:p>
            <w:pPr>
              <w:jc w:val="center"/>
              <w:ind w:right="1200"/>
              <w:spacing w:after="0"/>
              <w:rPr>
                <w:sz w:val="20"/>
                <w:szCs w:val="20"/>
                <w:color w:val="auto"/>
              </w:rPr>
            </w:pPr>
            <w:r>
              <w:rPr>
                <w:rFonts w:ascii="Arial" w:cs="Arial" w:eastAsia="Arial" w:hAnsi="Arial"/>
                <w:sz w:val="16"/>
                <w:szCs w:val="16"/>
                <w:b w:val="1"/>
                <w:bCs w:val="1"/>
                <w:color w:val="2B2D34"/>
              </w:rPr>
              <w:t>organization</w:t>
            </w:r>
          </w:p>
        </w:tc>
        <w:tc>
          <w:tcPr>
            <w:tcW w:w="7220" w:type="dxa"/>
            <w:vAlign w:val="bottom"/>
            <w:gridSpan w:val="2"/>
            <w:vMerge w:val="restart"/>
          </w:tcPr>
          <w:p>
            <w:pPr>
              <w:jc w:val="center"/>
              <w:ind w:right="3038"/>
              <w:spacing w:after="0"/>
              <w:rPr>
                <w:sz w:val="20"/>
                <w:szCs w:val="20"/>
                <w:color w:val="auto"/>
              </w:rPr>
            </w:pPr>
            <w:r>
              <w:rPr>
                <w:rFonts w:ascii="Arial" w:cs="Arial" w:eastAsia="Arial" w:hAnsi="Arial"/>
                <w:sz w:val="18"/>
                <w:szCs w:val="18"/>
                <w:b w:val="1"/>
                <w:bCs w:val="1"/>
                <w:color w:val="auto"/>
                <w:w w:val="98"/>
              </w:rPr>
              <w:t>10710 Midlothian Turnpike Suite 125</w:t>
            </w:r>
          </w:p>
        </w:tc>
        <w:tc>
          <w:tcPr>
            <w:tcW w:w="0" w:type="dxa"/>
            <w:vAlign w:val="bottom"/>
          </w:tcPr>
          <w:p>
            <w:pPr>
              <w:spacing w:after="0"/>
              <w:rPr>
                <w:sz w:val="1"/>
                <w:szCs w:val="1"/>
                <w:color w:val="auto"/>
              </w:rPr>
            </w:pPr>
          </w:p>
        </w:tc>
      </w:tr>
      <w:tr>
        <w:trPr>
          <w:trHeight w:val="168"/>
        </w:trPr>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20" w:type="dxa"/>
            <w:vAlign w:val="bottom"/>
            <w:gridSpan w:val="2"/>
          </w:tcPr>
          <w:p>
            <w:pPr>
              <w:jc w:val="center"/>
              <w:ind w:right="3058"/>
              <w:spacing w:after="0"/>
              <w:rPr>
                <w:sz w:val="20"/>
                <w:szCs w:val="20"/>
                <w:color w:val="auto"/>
              </w:rPr>
            </w:pPr>
            <w:r>
              <w:rPr>
                <w:rFonts w:ascii="Arial" w:cs="Arial" w:eastAsia="Arial" w:hAnsi="Arial"/>
                <w:sz w:val="18"/>
                <w:szCs w:val="18"/>
                <w:b w:val="1"/>
                <w:bCs w:val="1"/>
                <w:color w:val="auto"/>
                <w:w w:val="98"/>
              </w:rPr>
              <w:t>North Chesterfield, VA 23235</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20" w:type="dxa"/>
            <w:vAlign w:val="bottom"/>
            <w:gridSpan w:val="2"/>
          </w:tcPr>
          <w:p>
            <w:pPr>
              <w:jc w:val="center"/>
              <w:ind w:right="3038"/>
              <w:spacing w:after="0"/>
              <w:rPr>
                <w:sz w:val="20"/>
                <w:szCs w:val="20"/>
                <w:color w:val="auto"/>
              </w:rPr>
            </w:pPr>
            <w:r>
              <w:rPr>
                <w:rFonts w:ascii="Arial" w:cs="Arial" w:eastAsia="Arial" w:hAnsi="Arial"/>
                <w:sz w:val="16"/>
                <w:szCs w:val="16"/>
                <w:color w:val="auto"/>
              </w:rPr>
              <w:t>(address of principal executive offices)(zip code)</w:t>
            </w:r>
          </w:p>
        </w:tc>
        <w:tc>
          <w:tcPr>
            <w:tcW w:w="0" w:type="dxa"/>
            <w:vAlign w:val="bottom"/>
          </w:tcPr>
          <w:p>
            <w:pPr>
              <w:spacing w:after="0"/>
              <w:rPr>
                <w:sz w:val="1"/>
                <w:szCs w:val="1"/>
                <w:color w:val="auto"/>
              </w:rPr>
            </w:pPr>
          </w:p>
        </w:tc>
      </w:tr>
      <w:tr>
        <w:trPr>
          <w:trHeight w:val="163"/>
        </w:trPr>
        <w:tc>
          <w:tcPr>
            <w:tcW w:w="8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20" w:type="dxa"/>
            <w:vAlign w:val="bottom"/>
            <w:gridSpan w:val="2"/>
          </w:tcPr>
          <w:p>
            <w:pPr>
              <w:jc w:val="center"/>
              <w:ind w:right="3058"/>
              <w:spacing w:after="0" w:line="163" w:lineRule="exact"/>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0" w:type="dxa"/>
            <w:vAlign w:val="bottom"/>
          </w:tcPr>
          <w:p>
            <w:pPr>
              <w:jc w:val="center"/>
              <w:ind w:left="1417"/>
              <w:spacing w:after="0"/>
              <w:rPr>
                <w:sz w:val="20"/>
                <w:szCs w:val="20"/>
                <w:color w:val="auto"/>
              </w:rPr>
            </w:pPr>
            <w:r>
              <w:rPr>
                <w:rFonts w:ascii="Arial" w:cs="Arial" w:eastAsia="Arial" w:hAnsi="Arial"/>
                <w:sz w:val="16"/>
                <w:szCs w:val="16"/>
                <w:b w:val="1"/>
                <w:bCs w:val="1"/>
                <w:color w:val="auto"/>
              </w:rPr>
              <w:t>(804) 379-1040</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6220" w:type="dxa"/>
            <w:vAlign w:val="bottom"/>
            <w:gridSpan w:val="4"/>
          </w:tcPr>
          <w:p>
            <w:pPr>
              <w:ind w:left="20"/>
              <w:spacing w:after="0"/>
              <w:rPr>
                <w:sz w:val="20"/>
                <w:szCs w:val="20"/>
                <w:color w:val="auto"/>
              </w:rPr>
            </w:pPr>
            <w:r>
              <w:rPr>
                <w:rFonts w:ascii="Arial" w:cs="Arial" w:eastAsia="Arial" w:hAnsi="Arial"/>
                <w:sz w:val="18"/>
                <w:szCs w:val="18"/>
                <w:color w:val="2B2D34"/>
              </w:rPr>
              <w:t>Securities Registered pursuant to Section 12(b) of the Act:</w:t>
            </w: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3"/>
          </w:tcPr>
          <w:p>
            <w:pPr>
              <w:ind w:left="20"/>
              <w:spacing w:after="0"/>
              <w:rPr>
                <w:sz w:val="20"/>
                <w:szCs w:val="20"/>
                <w:color w:val="auto"/>
              </w:rPr>
            </w:pPr>
            <w:r>
              <w:rPr>
                <w:rFonts w:ascii="Arial" w:cs="Arial" w:eastAsia="Arial" w:hAnsi="Arial"/>
                <w:sz w:val="16"/>
                <w:szCs w:val="16"/>
                <w:b w:val="1"/>
                <w:bCs w:val="1"/>
                <w:color w:val="2B2D34"/>
              </w:rPr>
              <w:t>Title of each class</w:t>
            </w:r>
          </w:p>
        </w:tc>
        <w:tc>
          <w:tcPr>
            <w:tcW w:w="2600" w:type="dxa"/>
            <w:vAlign w:val="bottom"/>
          </w:tcPr>
          <w:p>
            <w:pPr>
              <w:ind w:left="1200"/>
              <w:spacing w:after="0"/>
              <w:rPr>
                <w:sz w:val="20"/>
                <w:szCs w:val="20"/>
                <w:color w:val="auto"/>
              </w:rPr>
            </w:pPr>
            <w:r>
              <w:rPr>
                <w:rFonts w:ascii="Arial" w:cs="Arial" w:eastAsia="Arial" w:hAnsi="Arial"/>
                <w:sz w:val="16"/>
                <w:szCs w:val="16"/>
                <w:b w:val="1"/>
                <w:bCs w:val="1"/>
                <w:color w:val="2B2D34"/>
              </w:rPr>
              <w:t>Trading</w:t>
            </w:r>
          </w:p>
        </w:tc>
        <w:tc>
          <w:tcPr>
            <w:tcW w:w="4620" w:type="dxa"/>
            <w:vAlign w:val="bottom"/>
          </w:tcPr>
          <w:p>
            <w:pPr>
              <w:spacing w:after="0"/>
              <w:rPr>
                <w:sz w:val="20"/>
                <w:szCs w:val="20"/>
                <w:color w:val="auto"/>
              </w:rPr>
            </w:pPr>
            <w:r>
              <w:rPr>
                <w:rFonts w:ascii="Arial" w:cs="Arial" w:eastAsia="Arial" w:hAnsi="Arial"/>
                <w:sz w:val="16"/>
                <w:szCs w:val="16"/>
                <w:b w:val="1"/>
                <w:bCs w:val="1"/>
                <w:color w:val="2B2D34"/>
              </w:rPr>
              <w:t>Name of each exchange on which registered</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0" w:type="dxa"/>
            <w:vAlign w:val="bottom"/>
          </w:tcPr>
          <w:p>
            <w:pPr>
              <w:ind w:left="1200"/>
              <w:spacing w:after="0"/>
              <w:rPr>
                <w:sz w:val="20"/>
                <w:szCs w:val="20"/>
                <w:color w:val="auto"/>
              </w:rPr>
            </w:pPr>
            <w:r>
              <w:rPr>
                <w:rFonts w:ascii="Arial" w:cs="Arial" w:eastAsia="Arial" w:hAnsi="Arial"/>
                <w:sz w:val="16"/>
                <w:szCs w:val="16"/>
                <w:b w:val="1"/>
                <w:bCs w:val="1"/>
                <w:color w:val="2B2D34"/>
              </w:rPr>
              <w:t>Symbol(s)</w:t>
            </w: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620" w:type="dxa"/>
            <w:vAlign w:val="bottom"/>
            <w:tcBorders>
              <w:bottom w:val="single" w:sz="8" w:color="auto"/>
            </w:tcBorders>
            <w:gridSpan w:val="3"/>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7"/>
        </w:trPr>
        <w:tc>
          <w:tcPr>
            <w:tcW w:w="3620" w:type="dxa"/>
            <w:vAlign w:val="bottom"/>
            <w:gridSpan w:val="3"/>
          </w:tcPr>
          <w:p>
            <w:pPr>
              <w:ind w:left="20"/>
              <w:spacing w:after="0"/>
              <w:rPr>
                <w:sz w:val="20"/>
                <w:szCs w:val="20"/>
                <w:color w:val="auto"/>
              </w:rPr>
            </w:pPr>
            <w:r>
              <w:rPr>
                <w:rFonts w:ascii="Arial" w:cs="Arial" w:eastAsia="Arial" w:hAnsi="Arial"/>
                <w:sz w:val="16"/>
                <w:szCs w:val="16"/>
                <w:color w:val="auto"/>
              </w:rPr>
              <w:t>Ordinary shares, $0.50 nominal value per share</w:t>
            </w:r>
          </w:p>
        </w:tc>
        <w:tc>
          <w:tcPr>
            <w:tcW w:w="2600" w:type="dxa"/>
            <w:vAlign w:val="bottom"/>
          </w:tcPr>
          <w:p>
            <w:pPr>
              <w:ind w:left="1200"/>
              <w:spacing w:after="0"/>
              <w:rPr>
                <w:sz w:val="20"/>
                <w:szCs w:val="20"/>
                <w:color w:val="auto"/>
              </w:rPr>
            </w:pPr>
            <w:r>
              <w:rPr>
                <w:rFonts w:ascii="Arial" w:cs="Arial" w:eastAsia="Arial" w:hAnsi="Arial"/>
                <w:sz w:val="16"/>
                <w:szCs w:val="16"/>
                <w:color w:val="auto"/>
              </w:rPr>
              <w:t>INDV</w:t>
            </w:r>
          </w:p>
        </w:tc>
        <w:tc>
          <w:tcPr>
            <w:tcW w:w="4620" w:type="dxa"/>
            <w:vAlign w:val="bottom"/>
          </w:tcPr>
          <w:p>
            <w:pP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4"/>
        </w:trPr>
        <w:tc>
          <w:tcPr>
            <w:tcW w:w="8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0" w:type="dxa"/>
            <w:vAlign w:val="bottom"/>
          </w:tcPr>
          <w:p>
            <w:pPr>
              <w:ind w:left="1200"/>
              <w:spacing w:after="0"/>
              <w:rPr>
                <w:sz w:val="20"/>
                <w:szCs w:val="20"/>
                <w:color w:val="auto"/>
              </w:rPr>
            </w:pPr>
            <w:r>
              <w:rPr>
                <w:rFonts w:ascii="Arial" w:cs="Arial" w:eastAsia="Arial" w:hAnsi="Arial"/>
                <w:sz w:val="16"/>
                <w:szCs w:val="16"/>
                <w:color w:val="auto"/>
              </w:rPr>
              <w:t>INDV</w:t>
            </w:r>
          </w:p>
        </w:tc>
        <w:tc>
          <w:tcPr>
            <w:tcW w:w="4620" w:type="dxa"/>
            <w:vAlign w:val="bottom"/>
          </w:tcPr>
          <w:p>
            <w:pPr>
              <w:spacing w:after="0"/>
              <w:rPr>
                <w:sz w:val="20"/>
                <w:szCs w:val="20"/>
                <w:color w:val="auto"/>
              </w:rPr>
            </w:pPr>
            <w:r>
              <w:rPr>
                <w:rFonts w:ascii="Arial" w:cs="Arial" w:eastAsia="Arial" w:hAnsi="Arial"/>
                <w:sz w:val="16"/>
                <w:szCs w:val="16"/>
                <w:color w:val="auto"/>
              </w:rPr>
              <w:t>London Stock Exchange</w:t>
            </w:r>
          </w:p>
        </w:tc>
        <w:tc>
          <w:tcPr>
            <w:tcW w:w="0" w:type="dxa"/>
            <w:vAlign w:val="bottom"/>
          </w:tcPr>
          <w:p>
            <w:pPr>
              <w:spacing w:after="0"/>
              <w:rPr>
                <w:sz w:val="1"/>
                <w:szCs w:val="1"/>
                <w:color w:val="auto"/>
              </w:rPr>
            </w:pPr>
          </w:p>
        </w:tc>
      </w:tr>
    </w:tbl>
    <w:p>
      <w:pPr>
        <w:spacing w:after="0" w:line="229" w:lineRule="exact"/>
        <w:rPr>
          <w:sz w:val="24"/>
          <w:szCs w:val="24"/>
          <w:color w:val="auto"/>
        </w:rPr>
      </w:pPr>
    </w:p>
    <w:p>
      <w:pPr>
        <w:jc w:val="both"/>
        <w:spacing w:after="0" w:line="20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right="2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ind w:right="40"/>
        <w:spacing w:after="0" w:line="27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1660" w:type="dxa"/>
        <w:tblCellMar>
          <w:top w:w="0" w:type="dxa"/>
          <w:left w:w="0" w:type="dxa"/>
          <w:bottom w:w="0" w:type="dxa"/>
          <w:right w:w="0" w:type="dxa"/>
        </w:tblCellMar>
      </w:tblPr>
      <w:tr>
        <w:trPr>
          <w:trHeight w:val="242"/>
        </w:trPr>
        <w:tc>
          <w:tcPr>
            <w:tcW w:w="6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500"/>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20"/>
              <w:spacing w:after="0"/>
              <w:rPr>
                <w:sz w:val="20"/>
                <w:szCs w:val="20"/>
                <w:color w:val="auto"/>
              </w:rPr>
            </w:pPr>
            <w:r>
              <w:rPr>
                <w:rFonts w:ascii="Arial" w:cs="Arial" w:eastAsia="Arial" w:hAnsi="Arial"/>
                <w:sz w:val="16"/>
                <w:szCs w:val="16"/>
                <w:color w:val="auto"/>
              </w:rPr>
              <w:t>Accelerated filer</w:t>
            </w:r>
          </w:p>
        </w:tc>
      </w:tr>
      <w:tr>
        <w:trPr>
          <w:trHeight w:val="242"/>
        </w:trPr>
        <w:tc>
          <w:tcPr>
            <w:tcW w:w="66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500"/>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20"/>
              <w:spacing w:after="0"/>
              <w:rPr>
                <w:sz w:val="20"/>
                <w:szCs w:val="20"/>
                <w:color w:val="auto"/>
              </w:rPr>
            </w:pPr>
            <w:r>
              <w:rPr>
                <w:rFonts w:ascii="Arial" w:cs="Arial" w:eastAsia="Arial" w:hAnsi="Arial"/>
                <w:sz w:val="16"/>
                <w:szCs w:val="16"/>
                <w:color w:val="auto"/>
                <w:w w:val="99"/>
              </w:rPr>
              <w:t>Smaller reporting company</w:t>
            </w:r>
          </w:p>
        </w:tc>
      </w:tr>
      <w:tr>
        <w:trPr>
          <w:trHeight w:val="272"/>
        </w:trPr>
        <w:tc>
          <w:tcPr>
            <w:tcW w:w="6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17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2440" w:type="dxa"/>
            <w:vAlign w:val="bottom"/>
          </w:tcPr>
          <w:p>
            <w:pPr>
              <w:ind w:left="520"/>
              <w:spacing w:after="0"/>
              <w:rPr>
                <w:sz w:val="20"/>
                <w:szCs w:val="20"/>
                <w:color w:val="auto"/>
              </w:rPr>
            </w:pPr>
            <w:r>
              <w:rPr>
                <w:rFonts w:ascii="Arial" w:cs="Arial" w:eastAsia="Arial" w:hAnsi="Arial"/>
                <w:sz w:val="16"/>
                <w:szCs w:val="16"/>
                <w:color w:val="auto"/>
                <w:w w:val="99"/>
              </w:rPr>
              <w:t>Emerging growth company</w:t>
            </w:r>
          </w:p>
        </w:tc>
      </w:tr>
    </w:tbl>
    <w:p>
      <w:pPr>
        <w:spacing w:after="0" w:line="234" w:lineRule="exact"/>
        <w:rPr>
          <w:sz w:val="24"/>
          <w:szCs w:val="24"/>
          <w:color w:val="auto"/>
        </w:rPr>
      </w:pPr>
    </w:p>
    <w:p>
      <w:pPr>
        <w:ind w:right="16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220"/>
        <w:spacing w:after="0" w:line="30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1, 2025, the number of outstanding ordinary shares was 124,769,533.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816610</wp:posOffset>
            </wp:positionV>
            <wp:extent cx="71583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867" w:right="359" w:bottom="1440" w:gutter="0" w:footer="0" w:header="0"/>
        </w:sectPr>
      </w:pPr>
    </w:p>
    <w:bookmarkStart w:id="1" w:name="page2"/>
    <w:bookmarkEnd w:id="1"/>
    <w:p>
      <w:pPr>
        <w:spacing w:after="0" w:line="132" w:lineRule="exact"/>
        <w:rPr>
          <w:sz w:val="20"/>
          <w:szCs w:val="20"/>
          <w:color w:val="auto"/>
        </w:rPr>
      </w:pPr>
    </w:p>
    <w:tbl>
      <w:tblPr>
        <w:tblLayout w:type="fixed"/>
        <w:tblInd w:w="340" w:type="dxa"/>
        <w:tblCellMar>
          <w:top w:w="0" w:type="dxa"/>
          <w:left w:w="0" w:type="dxa"/>
          <w:bottom w:w="0" w:type="dxa"/>
          <w:right w:w="0" w:type="dxa"/>
        </w:tblCellMar>
      </w:tblPr>
      <w:tr>
        <w:trPr>
          <w:trHeight w:val="246"/>
        </w:trPr>
        <w:tc>
          <w:tcPr>
            <w:tcW w:w="800" w:type="dxa"/>
            <w:vAlign w:val="bottom"/>
          </w:tcPr>
          <w:p>
            <w:pPr>
              <w:spacing w:after="0"/>
              <w:rPr>
                <w:sz w:val="21"/>
                <w:szCs w:val="21"/>
                <w:color w:val="auto"/>
              </w:rPr>
            </w:pPr>
          </w:p>
        </w:tc>
        <w:tc>
          <w:tcPr>
            <w:tcW w:w="8440" w:type="dxa"/>
            <w:vAlign w:val="bottom"/>
          </w:tcPr>
          <w:p>
            <w:pPr>
              <w:ind w:left="3740"/>
              <w:spacing w:after="0"/>
              <w:rPr>
                <w:sz w:val="20"/>
                <w:szCs w:val="20"/>
                <w:color w:val="auto"/>
              </w:rPr>
            </w:pPr>
            <w:r>
              <w:rPr>
                <w:rFonts w:ascii="Arial" w:cs="Arial" w:eastAsia="Arial" w:hAnsi="Arial"/>
                <w:sz w:val="18"/>
                <w:szCs w:val="18"/>
                <w:b w:val="1"/>
                <w:bCs w:val="1"/>
                <w:color w:val="auto"/>
              </w:rPr>
              <w:t>Table of Contents</w:t>
            </w:r>
          </w:p>
        </w:tc>
        <w:tc>
          <w:tcPr>
            <w:tcW w:w="1520" w:type="dxa"/>
            <w:vAlign w:val="bottom"/>
          </w:tcPr>
          <w:p>
            <w:pPr>
              <w:spacing w:after="0"/>
              <w:rPr>
                <w:sz w:val="21"/>
                <w:szCs w:val="21"/>
                <w:color w:val="auto"/>
              </w:rPr>
            </w:pPr>
          </w:p>
        </w:tc>
      </w:tr>
      <w:tr>
        <w:trPr>
          <w:trHeight w:val="664"/>
        </w:trPr>
        <w:tc>
          <w:tcPr>
            <w:tcW w:w="9240" w:type="dxa"/>
            <w:vAlign w:val="bottom"/>
            <w:gridSpan w:val="2"/>
          </w:tcPr>
          <w:p>
            <w:pPr>
              <w:spacing w:after="0"/>
              <w:rPr>
                <w:sz w:val="20"/>
                <w:szCs w:val="20"/>
                <w:color w:val="auto"/>
              </w:rPr>
            </w:pPr>
            <w:r>
              <w:rPr>
                <w:rFonts w:ascii="Arial" w:cs="Arial" w:eastAsia="Arial" w:hAnsi="Arial"/>
                <w:sz w:val="18"/>
                <w:szCs w:val="18"/>
                <w:color w:val="auto"/>
              </w:rPr>
              <w:t>Table of Contents</w:t>
            </w: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9"/>
        </w:trPr>
        <w:tc>
          <w:tcPr>
            <w:tcW w:w="9240" w:type="dxa"/>
            <w:vAlign w:val="bottom"/>
            <w:gridSpan w:val="2"/>
          </w:tcPr>
          <w:p>
            <w:pPr>
              <w:spacing w:after="0"/>
              <w:rPr>
                <w:sz w:val="20"/>
                <w:szCs w:val="20"/>
                <w:color w:val="auto"/>
              </w:rPr>
            </w:pPr>
            <w:r>
              <w:rPr>
                <w:rFonts w:ascii="Arial" w:cs="Arial" w:eastAsia="Arial" w:hAnsi="Arial"/>
                <w:sz w:val="18"/>
                <w:szCs w:val="18"/>
                <w:color w:val="auto"/>
              </w:rPr>
              <w:t>PART I - FINANCIAL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1. Unaudited Financial Statements.</w:t>
            </w: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4. Controls and Procedures</w:t>
            </w:r>
          </w:p>
        </w:tc>
        <w:tc>
          <w:tcPr>
            <w:tcW w:w="15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69"/>
        </w:trPr>
        <w:tc>
          <w:tcPr>
            <w:tcW w:w="9240" w:type="dxa"/>
            <w:vAlign w:val="bottom"/>
            <w:gridSpan w:val="2"/>
          </w:tcPr>
          <w:p>
            <w:pPr>
              <w:spacing w:after="0"/>
              <w:rPr>
                <w:sz w:val="20"/>
                <w:szCs w:val="20"/>
                <w:color w:val="auto"/>
              </w:rPr>
            </w:pPr>
            <w:r>
              <w:rPr>
                <w:rFonts w:ascii="Arial" w:cs="Arial" w:eastAsia="Arial" w:hAnsi="Arial"/>
                <w:sz w:val="18"/>
                <w:szCs w:val="18"/>
                <w:color w:val="auto"/>
              </w:rPr>
              <w:t>PART II - 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1. Legal Proceedings.</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1A. Risk Factors.</w:t>
            </w:r>
          </w:p>
        </w:tc>
        <w:tc>
          <w:tcPr>
            <w:tcW w:w="1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9"/>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3.</w:t>
            </w:r>
          </w:p>
        </w:tc>
        <w:tc>
          <w:tcPr>
            <w:tcW w:w="8440" w:type="dxa"/>
            <w:vAlign w:val="bottom"/>
          </w:tcPr>
          <w:p>
            <w:pPr>
              <w:ind w:left="20"/>
              <w:spacing w:after="0"/>
              <w:rPr>
                <w:sz w:val="20"/>
                <w:szCs w:val="20"/>
                <w:color w:val="auto"/>
              </w:rPr>
            </w:pPr>
            <w:r>
              <w:rPr>
                <w:rFonts w:ascii="Arial" w:cs="Arial" w:eastAsia="Arial" w:hAnsi="Arial"/>
                <w:sz w:val="18"/>
                <w:szCs w:val="18"/>
                <w:color w:val="auto"/>
              </w:rPr>
              <w:t>Defaults Upon Senior Securities.</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4.</w:t>
            </w:r>
          </w:p>
        </w:tc>
        <w:tc>
          <w:tcPr>
            <w:tcW w:w="8440" w:type="dxa"/>
            <w:vAlign w:val="bottom"/>
          </w:tcPr>
          <w:p>
            <w:pPr>
              <w:ind w:left="20"/>
              <w:spacing w:after="0"/>
              <w:rPr>
                <w:sz w:val="20"/>
                <w:szCs w:val="20"/>
                <w:color w:val="auto"/>
              </w:rPr>
            </w:pPr>
            <w:r>
              <w:rPr>
                <w:rFonts w:ascii="Arial" w:cs="Arial" w:eastAsia="Arial" w:hAnsi="Arial"/>
                <w:sz w:val="18"/>
                <w:szCs w:val="18"/>
                <w:color w:val="auto"/>
              </w:rPr>
              <w:t>Mine Safety Disclosures.</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5.</w:t>
            </w:r>
          </w:p>
        </w:tc>
        <w:tc>
          <w:tcPr>
            <w:tcW w:w="8440" w:type="dxa"/>
            <w:vAlign w:val="bottom"/>
          </w:tcPr>
          <w:p>
            <w:pPr>
              <w:ind w:left="20"/>
              <w:spacing w:after="0"/>
              <w:rPr>
                <w:sz w:val="20"/>
                <w:szCs w:val="20"/>
                <w:color w:val="auto"/>
              </w:rPr>
            </w:pPr>
            <w:r>
              <w:rPr>
                <w:rFonts w:ascii="Arial" w:cs="Arial" w:eastAsia="Arial" w:hAnsi="Arial"/>
                <w:sz w:val="18"/>
                <w:szCs w:val="18"/>
                <w:color w:val="auto"/>
              </w:rPr>
              <w:t>Other Information.</w:t>
            </w:r>
          </w:p>
        </w:tc>
        <w:tc>
          <w:tcPr>
            <w:tcW w:w="1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69"/>
        </w:trPr>
        <w:tc>
          <w:tcPr>
            <w:tcW w:w="800" w:type="dxa"/>
            <w:vAlign w:val="bottom"/>
          </w:tcPr>
          <w:p>
            <w:pPr>
              <w:ind w:left="220"/>
              <w:spacing w:after="0"/>
              <w:rPr>
                <w:sz w:val="20"/>
                <w:szCs w:val="20"/>
                <w:color w:val="auto"/>
              </w:rPr>
            </w:pPr>
            <w:r>
              <w:rPr>
                <w:rFonts w:ascii="Arial" w:cs="Arial" w:eastAsia="Arial" w:hAnsi="Arial"/>
                <w:sz w:val="18"/>
                <w:szCs w:val="18"/>
                <w:color w:val="auto"/>
              </w:rPr>
              <w:t>Item 6.</w:t>
            </w:r>
          </w:p>
        </w:tc>
        <w:tc>
          <w:tcPr>
            <w:tcW w:w="8440" w:type="dxa"/>
            <w:vAlign w:val="bottom"/>
          </w:tcPr>
          <w:p>
            <w:pPr>
              <w:ind w:left="20"/>
              <w:spacing w:after="0"/>
              <w:rPr>
                <w:sz w:val="20"/>
                <w:szCs w:val="20"/>
                <w:color w:val="auto"/>
              </w:rPr>
            </w:pPr>
            <w:r>
              <w:rPr>
                <w:rFonts w:ascii="Arial" w:cs="Arial" w:eastAsia="Arial" w:hAnsi="Arial"/>
                <w:sz w:val="18"/>
                <w:szCs w:val="18"/>
                <w:color w:val="auto"/>
              </w:rPr>
              <w:t>Exhibits.</w:t>
            </w:r>
          </w:p>
        </w:tc>
        <w:tc>
          <w:tcPr>
            <w:tcW w:w="1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69"/>
        </w:trPr>
        <w:tc>
          <w:tcPr>
            <w:tcW w:w="92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152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Important cautionary note regarding forward-looking statements</w:t>
      </w:r>
    </w:p>
    <w:p>
      <w:pPr>
        <w:spacing w:after="0" w:line="169" w:lineRule="exact"/>
        <w:rPr>
          <w:sz w:val="20"/>
          <w:szCs w:val="20"/>
          <w:color w:val="auto"/>
        </w:rPr>
      </w:pPr>
    </w:p>
    <w:p>
      <w:pPr>
        <w:ind w:firstLine="323"/>
        <w:spacing w:after="0" w:line="254" w:lineRule="auto"/>
        <w:rPr>
          <w:sz w:val="20"/>
          <w:szCs w:val="20"/>
          <w:color w:val="auto"/>
        </w:rPr>
      </w:pPr>
      <w:r>
        <w:rPr>
          <w:rFonts w:ascii="Arial" w:cs="Arial" w:eastAsia="Arial" w:hAnsi="Arial"/>
          <w:sz w:val="18"/>
          <w:szCs w:val="18"/>
          <w:color w:val="auto"/>
        </w:rPr>
        <w:t>Certain statements contained herein, as well as in other filings we make with the SEC and other written and oral information we release, regarding our performance or other events or developments in the future constitute “forward-looking statements” as defined in the Private Securities Litigation Reform Act of 1995. Forward-looking statements include, among other things, express and implied statements pertaining to the Company’s financial guidance including revenue, gross margin and operating margin for 2025 and its medium- and long-term growth outlook; capital expenditures; and statements containing the words "believe", "anticipate", "plan", "expect", "intend", "estimate", "forecast," "strategy", "target", "guidance", "outlook", "potential", "project", "priority," "may", "will", "should", "would", "could", "can", "outlook," the negatives thereof, and variations thereon and similar expressions. By their nature, forward-looking statements involve risks and uncertainties as they relate to events or circumstances that may or may not occur in the future.</w:t>
      </w:r>
    </w:p>
    <w:p>
      <w:pPr>
        <w:spacing w:after="0" w:line="129" w:lineRule="exact"/>
        <w:rPr>
          <w:sz w:val="20"/>
          <w:szCs w:val="20"/>
          <w:color w:val="auto"/>
        </w:rPr>
      </w:pPr>
    </w:p>
    <w:p>
      <w:pPr>
        <w:ind w:right="260" w:firstLine="323"/>
        <w:spacing w:after="0" w:line="261" w:lineRule="auto"/>
        <w:rPr>
          <w:sz w:val="20"/>
          <w:szCs w:val="20"/>
          <w:color w:val="auto"/>
        </w:rPr>
      </w:pPr>
      <w:r>
        <w:rPr>
          <w:rFonts w:ascii="Arial" w:cs="Arial" w:eastAsia="Arial" w:hAnsi="Arial"/>
          <w:sz w:val="18"/>
          <w:szCs w:val="18"/>
          <w:color w:val="auto"/>
        </w:rPr>
        <w:t>Actual results may differ materially from those expressed or implied in such statements because they relate to future events. For information about some of the risks and important factors that could affect our future results and financial condition, see the discussion of “Risk Factors” in our Annual Report on Form 10-K filed March 3, 2025, Part II Item 1A herein, and our other filings with the U.S. Securities and Exchange Commission.</w:t>
      </w:r>
    </w:p>
    <w:p>
      <w:pPr>
        <w:spacing w:after="0" w:line="121" w:lineRule="exact"/>
        <w:rPr>
          <w:sz w:val="20"/>
          <w:szCs w:val="20"/>
          <w:color w:val="auto"/>
        </w:rPr>
      </w:pPr>
    </w:p>
    <w:p>
      <w:pPr>
        <w:ind w:right="100" w:firstLine="323"/>
        <w:spacing w:after="0" w:line="267" w:lineRule="auto"/>
        <w:rPr>
          <w:sz w:val="20"/>
          <w:szCs w:val="20"/>
          <w:color w:val="auto"/>
        </w:rPr>
      </w:pPr>
      <w:r>
        <w:rPr>
          <w:rFonts w:ascii="Arial" w:cs="Arial" w:eastAsia="Arial" w:hAnsi="Arial"/>
          <w:sz w:val="18"/>
          <w:szCs w:val="18"/>
          <w:color w:val="auto"/>
        </w:rPr>
        <w:t>We have based the forward-looking statements in this report on our current expectations and beliefs concerning future events. Forward-looking statements contained in this report speak only as of the day they are made and, except as required by law, we undertake no obligation to update or revise any forward-looking statement, whether due to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0640" w:type="dxa"/>
            <w:vAlign w:val="bottom"/>
          </w:tcPr>
          <w:p>
            <w:pPr>
              <w:ind w:left="412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1"/>
                <w:szCs w:val="21"/>
                <w:color w:val="auto"/>
              </w:rPr>
            </w:pPr>
          </w:p>
        </w:tc>
      </w:tr>
      <w:tr>
        <w:trPr>
          <w:trHeight w:val="618"/>
        </w:trPr>
        <w:tc>
          <w:tcPr>
            <w:tcW w:w="10640" w:type="dxa"/>
            <w:vAlign w:val="bottom"/>
          </w:tcPr>
          <w:p>
            <w:pPr>
              <w:spacing w:after="0"/>
              <w:rPr>
                <w:sz w:val="20"/>
                <w:szCs w:val="20"/>
                <w:color w:val="auto"/>
              </w:rPr>
            </w:pPr>
            <w:r>
              <w:rPr>
                <w:rFonts w:ascii="Arial" w:cs="Arial" w:eastAsia="Arial" w:hAnsi="Arial"/>
                <w:sz w:val="18"/>
                <w:szCs w:val="18"/>
                <w:b w:val="1"/>
                <w:bCs w:val="1"/>
                <w:color w:val="auto"/>
              </w:rPr>
              <w:t>Item 1. Unaudited Financial Statements.</w:t>
            </w:r>
          </w:p>
        </w:tc>
        <w:tc>
          <w:tcPr>
            <w:tcW w:w="100" w:type="dxa"/>
            <w:vAlign w:val="bottom"/>
          </w:tcPr>
          <w:p>
            <w:pPr>
              <w:spacing w:after="0"/>
              <w:rPr>
                <w:sz w:val="24"/>
                <w:szCs w:val="24"/>
                <w:color w:val="auto"/>
              </w:rPr>
            </w:pPr>
          </w:p>
        </w:tc>
      </w:tr>
      <w:tr>
        <w:trPr>
          <w:trHeight w:val="779"/>
        </w:trPr>
        <w:tc>
          <w:tcPr>
            <w:tcW w:w="10640" w:type="dxa"/>
            <w:vAlign w:val="bottom"/>
          </w:tcPr>
          <w:p>
            <w:pPr>
              <w:ind w:left="2800"/>
              <w:spacing w:after="0"/>
              <w:rPr>
                <w:sz w:val="20"/>
                <w:szCs w:val="20"/>
                <w:color w:val="auto"/>
              </w:rPr>
            </w:pPr>
            <w:r>
              <w:rPr>
                <w:rFonts w:ascii="Arial" w:cs="Arial" w:eastAsia="Arial" w:hAnsi="Arial"/>
                <w:sz w:val="18"/>
                <w:szCs w:val="18"/>
                <w:b w:val="1"/>
                <w:bCs w:val="1"/>
                <w:color w:val="auto"/>
              </w:rPr>
              <w:t>Index to Unaudited Condensed Consolidated Financial Statements</w:t>
            </w:r>
          </w:p>
        </w:tc>
        <w:tc>
          <w:tcPr>
            <w:tcW w:w="100" w:type="dxa"/>
            <w:vAlign w:val="bottom"/>
          </w:tcPr>
          <w:p>
            <w:pPr>
              <w:spacing w:after="0"/>
              <w:rPr>
                <w:sz w:val="24"/>
                <w:szCs w:val="24"/>
                <w:color w:val="auto"/>
              </w:rPr>
            </w:pPr>
          </w:p>
        </w:tc>
      </w:tr>
      <w:tr>
        <w:trPr>
          <w:trHeight w:val="767"/>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Operations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Comprehensive Income</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Balance Sheets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Stockholders' Deficit</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Condensed Consolidated Statements of Cash Flow</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6</w:t>
            </w:r>
          </w:p>
        </w:tc>
      </w:tr>
      <w:tr>
        <w:trPr>
          <w:trHeight w:val="208"/>
        </w:trPr>
        <w:tc>
          <w:tcPr>
            <w:tcW w:w="10640" w:type="dxa"/>
            <w:vAlign w:val="bottom"/>
          </w:tcPr>
          <w:p>
            <w:pPr>
              <w:ind w:left="340"/>
              <w:spacing w:after="0"/>
              <w:rPr>
                <w:sz w:val="20"/>
                <w:szCs w:val="20"/>
                <w:color w:val="auto"/>
              </w:rPr>
            </w:pPr>
            <w:r>
              <w:rPr>
                <w:rFonts w:ascii="Arial" w:cs="Arial" w:eastAsia="Arial" w:hAnsi="Arial"/>
                <w:sz w:val="18"/>
                <w:szCs w:val="18"/>
                <w:color w:val="auto"/>
              </w:rPr>
              <w:t>Notes to Condensed Consolidated Financial Statements</w:t>
            </w: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r>
    </w:tbl>
    <w:p>
      <w:pPr>
        <w:spacing w:after="0" w:line="200" w:lineRule="exact"/>
        <w:rPr>
          <w:sz w:val="20"/>
          <w:szCs w:val="20"/>
          <w:color w:val="auto"/>
        </w:rPr>
      </w:pPr>
    </w:p>
    <w:p>
      <w:pPr>
        <w:sectPr>
          <w:pgSz w:w="11900" w:h="16838" w:orient="portrait"/>
          <w:cols w:equalWidth="0" w:num="1">
            <w:col w:w="10740"/>
          </w:cols>
          <w:pgMar w:left="320" w:top="1440"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182245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type w:val="continuous"/>
        </w:sectPr>
      </w:pPr>
    </w:p>
    <w:bookmarkStart w:id="3" w:name="page4"/>
    <w:bookmarkEnd w:id="3"/>
    <w:p>
      <w:pPr>
        <w:jc w:val="center"/>
        <w:ind w:right="2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Three Months Ended March 31,</w:t>
            </w:r>
          </w:p>
        </w:tc>
      </w:tr>
      <w:tr>
        <w:trPr>
          <w:trHeight w:val="222"/>
        </w:trPr>
        <w:tc>
          <w:tcPr>
            <w:tcW w:w="76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r>
      <w:tr>
        <w:trPr>
          <w:trHeight w:val="22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8"/>
        </w:trPr>
        <w:tc>
          <w:tcPr>
            <w:tcW w:w="76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8"/>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Litigation settlement</w:t>
            </w:r>
          </w:p>
        </w:tc>
        <w:tc>
          <w:tcPr>
            <w:tcW w:w="10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Other income and expenses:</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7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76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r>
      <w:tr>
        <w:trPr>
          <w:trHeight w:val="228"/>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7"/>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7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color w:val="auto"/>
              </w:rPr>
              <w:t>Basic</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0.45</w:t>
            </w:r>
          </w:p>
        </w:tc>
      </w:tr>
      <w:tr>
        <w:trPr>
          <w:trHeight w:val="22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Shares used in computing earnings per share</w:t>
            </w: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8"/>
        </w:trPr>
        <w:tc>
          <w:tcPr>
            <w:tcW w:w="7620" w:type="dxa"/>
            <w:vAlign w:val="bottom"/>
          </w:tcPr>
          <w:p>
            <w:pPr>
              <w:ind w:left="20"/>
              <w:spacing w:after="0"/>
              <w:rPr>
                <w:sz w:val="20"/>
                <w:szCs w:val="20"/>
                <w:color w:val="auto"/>
              </w:rPr>
            </w:pPr>
            <w:r>
              <w:rPr>
                <w:rFonts w:ascii="Arial" w:cs="Arial" w:eastAsia="Arial" w:hAnsi="Arial"/>
                <w:sz w:val="18"/>
                <w:szCs w:val="18"/>
                <w:color w:val="auto"/>
              </w:rPr>
              <w:t>Diluted</w:t>
            </w:r>
          </w:p>
        </w:tc>
        <w:tc>
          <w:tcPr>
            <w:tcW w:w="10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80" w:type="dxa"/>
            <w:vAlign w:val="bottom"/>
          </w:tcPr>
          <w:p>
            <w:pPr>
              <w:spacing w:after="0"/>
              <w:rPr>
                <w:sz w:val="20"/>
                <w:szCs w:val="20"/>
                <w:color w:val="auto"/>
              </w:rPr>
            </w:pPr>
          </w:p>
        </w:tc>
        <w:tc>
          <w:tcPr>
            <w:tcW w:w="2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280" w:type="dxa"/>
            <w:vAlign w:val="bottom"/>
            <w:tcBorders>
              <w:bottom w:val="single" w:sz="8" w:color="auto"/>
            </w:tcBorders>
          </w:tcPr>
          <w:p>
            <w:pPr>
              <w:spacing w:after="0"/>
              <w:rPr>
                <w:sz w:val="20"/>
                <w:szCs w:val="20"/>
                <w:color w:val="auto"/>
              </w:rPr>
            </w:pPr>
          </w:p>
        </w:tc>
      </w:tr>
      <w:tr>
        <w:trPr>
          <w:trHeight w:val="222"/>
        </w:trPr>
        <w:tc>
          <w:tcPr>
            <w:tcW w:w="75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r>
      <w:tr>
        <w:trPr>
          <w:trHeight w:val="222"/>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w:t>
            </w:r>
          </w:p>
        </w:tc>
      </w:tr>
      <w:tr>
        <w:trPr>
          <w:trHeight w:val="228"/>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28"/>
        </w:trPr>
        <w:tc>
          <w:tcPr>
            <w:tcW w:w="7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7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640" w:top="121" w:right="4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2025</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08"/>
        </w:trPr>
        <w:tc>
          <w:tcPr>
            <w:tcW w:w="7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 of allowances of $2 (2025) and $3 (2024)</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Current tax receivable</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w:t>
            </w: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 net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color w:val="auto"/>
              </w:rPr>
              <w:t>Goodwill and other intangible assets, net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8"/>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1,375</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Accrued rebates and product returns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Accrued litigation settlement expenses, current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8"/>
        </w:trPr>
        <w:tc>
          <w:tcPr>
            <w:tcW w:w="7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c>
          <w:tcPr>
            <w:tcW w:w="0" w:type="dxa"/>
            <w:vAlign w:val="bottom"/>
          </w:tcPr>
          <w:p>
            <w:pPr>
              <w:spacing w:after="0"/>
              <w:rPr>
                <w:sz w:val="1"/>
                <w:szCs w:val="1"/>
                <w:color w:val="auto"/>
              </w:rPr>
            </w:pPr>
          </w:p>
        </w:tc>
      </w:tr>
      <w:tr>
        <w:trPr>
          <w:trHeight w:val="222"/>
        </w:trPr>
        <w:tc>
          <w:tcPr>
            <w:tcW w:w="726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litigation settlement expenses, non-current</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w:t>
            </w:r>
          </w:p>
        </w:tc>
        <w:tc>
          <w:tcPr>
            <w:tcW w:w="0" w:type="dxa"/>
            <w:vAlign w:val="bottom"/>
          </w:tcPr>
          <w:p>
            <w:pPr>
              <w:spacing w:after="0"/>
              <w:rPr>
                <w:sz w:val="1"/>
                <w:szCs w:val="1"/>
                <w:color w:val="auto"/>
              </w:rPr>
            </w:pPr>
          </w:p>
        </w:tc>
      </w:tr>
      <w:tr>
        <w:trPr>
          <w:trHeight w:val="208"/>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Shareholders' deficit</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Common stock, par value $0.50 per share</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2"/>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shares: 125 (2025) and 125 (2024)</w:t>
            </w: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repurchase commitment</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726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8"/>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22"/>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shareholders' deficit</w:t>
            </w: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47"/>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shareholders'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1,375</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c>
          <w:tcPr>
            <w:tcW w:w="0" w:type="dxa"/>
            <w:vAlign w:val="bottom"/>
          </w:tcPr>
          <w:p>
            <w:pPr>
              <w:spacing w:after="0"/>
              <w:rPr>
                <w:sz w:val="1"/>
                <w:szCs w:val="1"/>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p>
      <w:pPr>
        <w:jc w:val="center"/>
        <w:ind w:right="4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400"/>
        <w:spacing w:after="0"/>
        <w:rPr>
          <w:sz w:val="20"/>
          <w:szCs w:val="20"/>
          <w:color w:val="auto"/>
        </w:rPr>
      </w:pPr>
      <w:r>
        <w:rPr>
          <w:rFonts w:ascii="Arial" w:cs="Arial" w:eastAsia="Arial" w:hAnsi="Arial"/>
          <w:sz w:val="17"/>
          <w:szCs w:val="17"/>
          <w:b w:val="1"/>
          <w:bCs w:val="1"/>
          <w:color w:val="auto"/>
        </w:rPr>
        <w:t>Condensed Consolidated Statements of Stockholders’ Deficit</w:t>
      </w:r>
    </w:p>
    <w:p>
      <w:pPr>
        <w:spacing w:after="0" w:line="20"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8"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5" w:lineRule="exact"/>
        <w:rPr>
          <w:sz w:val="20"/>
          <w:szCs w:val="20"/>
          <w:color w:val="auto"/>
        </w:rPr>
      </w:pPr>
    </w:p>
    <w:p>
      <w:pPr>
        <w:ind w:left="3600"/>
        <w:spacing w:after="0"/>
        <w:rPr>
          <w:sz w:val="20"/>
          <w:szCs w:val="20"/>
          <w:color w:val="auto"/>
        </w:rPr>
      </w:pPr>
      <w:r>
        <w:rPr>
          <w:rFonts w:ascii="Arial" w:cs="Arial" w:eastAsia="Arial" w:hAnsi="Arial"/>
          <w:sz w:val="16"/>
          <w:szCs w:val="16"/>
          <w:b w:val="1"/>
          <w:bCs w:val="1"/>
          <w:color w:val="auto"/>
        </w:rPr>
        <w:t>Common Stock</w:t>
      </w:r>
    </w:p>
    <w:p>
      <w:pPr>
        <w:sectPr>
          <w:pgSz w:w="11900" w:h="16838" w:orient="portrait"/>
          <w:cols w:equalWidth="0" w:num="1">
            <w:col w:w="11020"/>
          </w:cols>
          <w:pgMar w:left="6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right="1120"/>
        <w:spacing w:after="0" w:line="278" w:lineRule="auto"/>
        <w:rPr>
          <w:sz w:val="20"/>
          <w:szCs w:val="20"/>
          <w:color w:val="auto"/>
        </w:rPr>
      </w:pPr>
      <w:r>
        <w:rPr>
          <w:rFonts w:ascii="Arial" w:cs="Arial" w:eastAsia="Arial" w:hAnsi="Arial"/>
          <w:sz w:val="18"/>
          <w:szCs w:val="18"/>
          <w:b w:val="1"/>
          <w:bCs w:val="1"/>
          <w:color w:val="auto"/>
        </w:rPr>
        <w:t xml:space="preserve">Balance, January 1, 2024 </w:t>
      </w:r>
      <w:r>
        <w:rPr>
          <w:rFonts w:ascii="Arial" w:cs="Arial" w:eastAsia="Arial" w:hAnsi="Arial"/>
          <w:sz w:val="18"/>
          <w:szCs w:val="18"/>
          <w:color w:val="auto"/>
        </w:rPr>
        <w:t>Net income</w:t>
      </w:r>
    </w:p>
    <w:p>
      <w:pPr>
        <w:ind w:left="20" w:right="1160"/>
        <w:spacing w:after="0" w:line="280" w:lineRule="auto"/>
        <w:rPr>
          <w:sz w:val="20"/>
          <w:szCs w:val="20"/>
          <w:color w:val="auto"/>
        </w:rPr>
      </w:pPr>
      <w:r>
        <w:rPr>
          <w:rFonts w:ascii="Arial" w:cs="Arial" w:eastAsia="Arial" w:hAnsi="Arial"/>
          <w:sz w:val="17"/>
          <w:szCs w:val="17"/>
          <w:color w:val="auto"/>
        </w:rPr>
        <w:t>Other comprehensive loss Common stock issued</w:t>
      </w:r>
    </w:p>
    <w:p>
      <w:pPr>
        <w:spacing w:after="0" w:line="1" w:lineRule="exact"/>
        <w:rPr>
          <w:sz w:val="20"/>
          <w:szCs w:val="20"/>
          <w:color w:val="auto"/>
        </w:rPr>
      </w:pPr>
    </w:p>
    <w:p>
      <w:pPr>
        <w:ind w:left="20"/>
        <w:spacing w:after="0" w:line="233" w:lineRule="auto"/>
        <w:rPr>
          <w:sz w:val="20"/>
          <w:szCs w:val="20"/>
          <w:color w:val="auto"/>
        </w:rPr>
      </w:pPr>
      <w:r>
        <w:rPr>
          <w:rFonts w:ascii="Arial" w:cs="Arial" w:eastAsia="Arial" w:hAnsi="Arial"/>
          <w:sz w:val="18"/>
          <w:szCs w:val="18"/>
          <w:color w:val="auto"/>
        </w:rPr>
        <w:t>Common stock repurchased and canceled</w:t>
      </w:r>
    </w:p>
    <w:p>
      <w:pPr>
        <w:spacing w:after="0" w:line="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Share-based compensation</w:t>
      </w:r>
    </w:p>
    <w:p>
      <w:pPr>
        <w:spacing w:after="0" w:line="31" w:lineRule="exact"/>
        <w:rPr>
          <w:sz w:val="20"/>
          <w:szCs w:val="20"/>
          <w:color w:val="auto"/>
        </w:rPr>
      </w:pPr>
    </w:p>
    <w:p>
      <w:pPr>
        <w:ind w:left="20"/>
        <w:spacing w:after="0" w:line="233" w:lineRule="auto"/>
        <w:rPr>
          <w:sz w:val="20"/>
          <w:szCs w:val="20"/>
          <w:color w:val="auto"/>
        </w:rPr>
      </w:pPr>
      <w:r>
        <w:rPr>
          <w:rFonts w:ascii="Arial" w:cs="Arial" w:eastAsia="Arial" w:hAnsi="Arial"/>
          <w:sz w:val="18"/>
          <w:szCs w:val="18"/>
          <w:color w:val="auto"/>
        </w:rPr>
        <w:t>Share repurchase liability movement, net</w:t>
      </w:r>
    </w:p>
    <w:p>
      <w:pPr>
        <w:spacing w:after="0" w:line="5" w:lineRule="exact"/>
        <w:rPr>
          <w:sz w:val="20"/>
          <w:szCs w:val="20"/>
          <w:color w:val="auto"/>
        </w:rPr>
      </w:pPr>
    </w:p>
    <w:p>
      <w:pPr>
        <w:ind w:left="20" w:right="480"/>
        <w:spacing w:after="0" w:line="270" w:lineRule="auto"/>
        <w:rPr>
          <w:sz w:val="20"/>
          <w:szCs w:val="20"/>
          <w:color w:val="auto"/>
        </w:rPr>
      </w:pPr>
      <w:r>
        <w:rPr>
          <w:rFonts w:ascii="Arial" w:cs="Arial" w:eastAsia="Arial" w:hAnsi="Arial"/>
          <w:sz w:val="18"/>
          <w:szCs w:val="18"/>
          <w:color w:val="auto"/>
        </w:rPr>
        <w:t>Settlement of tax on equity awards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Balance, March 31, 2024</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Additional</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Accumulated</w:t>
            </w:r>
          </w:p>
        </w:tc>
        <w:tc>
          <w:tcPr>
            <w:tcW w:w="11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Accumulated</w:t>
            </w:r>
          </w:p>
        </w:tc>
        <w:tc>
          <w:tcPr>
            <w:tcW w:w="1160" w:type="dxa"/>
            <w:vAlign w:val="bottom"/>
          </w:tcPr>
          <w:p>
            <w:pPr>
              <w:jc w:val="center"/>
              <w:ind w:left="13"/>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900" w:type="dxa"/>
            <w:vAlign w:val="bottom"/>
            <w:vMerge w:val="restart"/>
          </w:tcPr>
          <w:p>
            <w:pPr>
              <w:jc w:val="right"/>
              <w:ind w:right="151"/>
              <w:spacing w:after="0"/>
              <w:rPr>
                <w:sz w:val="20"/>
                <w:szCs w:val="20"/>
                <w:color w:val="auto"/>
              </w:rPr>
            </w:pPr>
            <w:r>
              <w:rPr>
                <w:rFonts w:ascii="Arial" w:cs="Arial" w:eastAsia="Arial" w:hAnsi="Arial"/>
                <w:sz w:val="16"/>
                <w:szCs w:val="16"/>
                <w:b w:val="1"/>
                <w:bCs w:val="1"/>
                <w:color w:val="auto"/>
              </w:rPr>
              <w:t>Shares</w:t>
            </w:r>
          </w:p>
        </w:tc>
        <w:tc>
          <w:tcPr>
            <w:tcW w:w="90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paid-in</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repurchase</w:t>
            </w:r>
          </w:p>
        </w:tc>
        <w:tc>
          <w:tcPr>
            <w:tcW w:w="13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other</w:t>
            </w:r>
          </w:p>
        </w:tc>
        <w:tc>
          <w:tcPr>
            <w:tcW w:w="1180" w:type="dxa"/>
            <w:vAlign w:val="bottom"/>
            <w:vMerge w:val="continue"/>
          </w:tcPr>
          <w:p>
            <w:pPr>
              <w:spacing w:after="0"/>
              <w:rPr>
                <w:sz w:val="7"/>
                <w:szCs w:val="7"/>
                <w:color w:val="auto"/>
              </w:rPr>
            </w:pPr>
          </w:p>
        </w:tc>
        <w:tc>
          <w:tcPr>
            <w:tcW w:w="1160" w:type="dxa"/>
            <w:vAlign w:val="bottom"/>
            <w:vMerge w:val="restart"/>
          </w:tcPr>
          <w:p>
            <w:pPr>
              <w:jc w:val="center"/>
              <w:ind w:left="13"/>
              <w:spacing w:after="0"/>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comprehensive</w:t>
            </w:r>
          </w:p>
        </w:tc>
        <w:tc>
          <w:tcPr>
            <w:tcW w:w="1180" w:type="dxa"/>
            <w:vAlign w:val="bottom"/>
          </w:tcPr>
          <w:p>
            <w:pPr>
              <w:jc w:val="right"/>
              <w:ind w:right="272"/>
              <w:spacing w:after="0" w:line="161" w:lineRule="exact"/>
              <w:rPr>
                <w:sz w:val="20"/>
                <w:szCs w:val="20"/>
                <w:color w:val="auto"/>
              </w:rPr>
            </w:pPr>
            <w:r>
              <w:rPr>
                <w:rFonts w:ascii="Arial" w:cs="Arial" w:eastAsia="Arial" w:hAnsi="Arial"/>
                <w:sz w:val="16"/>
                <w:szCs w:val="16"/>
                <w:b w:val="1"/>
                <w:bCs w:val="1"/>
                <w:color w:val="auto"/>
              </w:rPr>
              <w:t>deficit</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9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capital</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commitment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loss</w:t>
            </w:r>
          </w:p>
        </w:tc>
        <w:tc>
          <w:tcPr>
            <w:tcW w:w="1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equity (deficit)</w:t>
            </w:r>
          </w:p>
        </w:tc>
        <w:tc>
          <w:tcPr>
            <w:tcW w:w="0" w:type="dxa"/>
            <w:vAlign w:val="bottom"/>
          </w:tcPr>
          <w:p>
            <w:pPr>
              <w:spacing w:after="0"/>
              <w:rPr>
                <w:sz w:val="1"/>
                <w:szCs w:val="1"/>
                <w:color w:val="auto"/>
              </w:rPr>
            </w:pPr>
          </w:p>
        </w:tc>
      </w:tr>
      <w:tr>
        <w:trPr>
          <w:trHeight w:val="216"/>
        </w:trPr>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137</w:t>
            </w: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rPr>
              <w:t>68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0" w:type="dxa"/>
            <w:vAlign w:val="bottom"/>
          </w:tcPr>
          <w:p>
            <w:pPr>
              <w:spacing w:after="0"/>
              <w:rPr>
                <w:sz w:val="1"/>
                <w:szCs w:val="1"/>
                <w:color w:val="auto"/>
              </w:rPr>
            </w:pPr>
          </w:p>
        </w:tc>
      </w:tr>
      <w:tr>
        <w:trPr>
          <w:trHeight w:val="228"/>
        </w:trPr>
        <w:tc>
          <w:tcPr>
            <w:tcW w:w="90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11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8"/>
        </w:trPr>
        <w:tc>
          <w:tcPr>
            <w:tcW w:w="90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8"/>
        </w:trPr>
        <w:tc>
          <w:tcPr>
            <w:tcW w:w="90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22"/>
        </w:trPr>
        <w:tc>
          <w:tcPr>
            <w:tcW w:w="900" w:type="dxa"/>
            <w:vAlign w:val="bottom"/>
          </w:tcPr>
          <w:p>
            <w:pPr>
              <w:jc w:val="center"/>
              <w:ind w:left="311"/>
              <w:spacing w:after="0"/>
              <w:rPr>
                <w:sz w:val="20"/>
                <w:szCs w:val="20"/>
                <w:color w:val="auto"/>
              </w:rPr>
            </w:pPr>
            <w:r>
              <w:rPr>
                <w:rFonts w:ascii="Arial" w:cs="Arial" w:eastAsia="Arial" w:hAnsi="Arial"/>
                <w:sz w:val="18"/>
                <w:szCs w:val="18"/>
                <w:color w:val="auto"/>
                <w:w w:val="99"/>
              </w:rPr>
              <w:t>(2)</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4"/>
        </w:trPr>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90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2"/>
        </w:trPr>
        <w:tc>
          <w:tcPr>
            <w:tcW w:w="90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84"/>
        </w:trPr>
        <w:tc>
          <w:tcPr>
            <w:tcW w:w="9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90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0"/>
        </w:trPr>
        <w:tc>
          <w:tcPr>
            <w:tcW w:w="900" w:type="dxa"/>
            <w:vAlign w:val="bottom"/>
          </w:tcPr>
          <w:p>
            <w:pPr>
              <w:jc w:val="right"/>
              <w:ind w:right="91"/>
              <w:spacing w:after="0"/>
              <w:rPr>
                <w:sz w:val="20"/>
                <w:szCs w:val="20"/>
                <w:color w:val="auto"/>
              </w:rPr>
            </w:pPr>
            <w:r>
              <w:rPr>
                <w:rFonts w:ascii="Arial" w:cs="Arial" w:eastAsia="Arial" w:hAnsi="Arial"/>
                <w:sz w:val="18"/>
                <w:szCs w:val="18"/>
                <w:b w:val="1"/>
                <w:bCs w:val="1"/>
                <w:color w:val="auto"/>
              </w:rPr>
              <w:t>136</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(262)</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-2075815</wp:posOffset>
            </wp:positionH>
            <wp:positionV relativeFrom="paragraph">
              <wp:posOffset>-1717040</wp:posOffset>
            </wp:positionV>
            <wp:extent cx="6991350" cy="153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1350" cy="153670"/>
                    </a:xfrm>
                    <a:prstGeom prst="rect">
                      <a:avLst/>
                    </a:prstGeom>
                    <a:noFill/>
                  </pic:spPr>
                </pic:pic>
              </a:graphicData>
            </a:graphic>
          </wp:anchor>
        </w:drawing>
        <w:drawing>
          <wp:anchor simplePos="0" relativeHeight="251657728" behindDoc="1" locked="0" layoutInCell="0" allowOverlap="1">
            <wp:simplePos x="0" y="0"/>
            <wp:positionH relativeFrom="column">
              <wp:posOffset>-2075815</wp:posOffset>
            </wp:positionH>
            <wp:positionV relativeFrom="paragraph">
              <wp:posOffset>-1418590</wp:posOffset>
            </wp:positionV>
            <wp:extent cx="6991350" cy="144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1350" cy="144780"/>
                    </a:xfrm>
                    <a:prstGeom prst="rect">
                      <a:avLst/>
                    </a:prstGeom>
                    <a:noFill/>
                  </pic:spPr>
                </pic:pic>
              </a:graphicData>
            </a:graphic>
          </wp:anchor>
        </w:drawing>
        <w:drawing>
          <wp:anchor simplePos="0" relativeHeight="251657728" behindDoc="1" locked="0" layoutInCell="0" allowOverlap="1">
            <wp:simplePos x="0" y="0"/>
            <wp:positionH relativeFrom="column">
              <wp:posOffset>-2075815</wp:posOffset>
            </wp:positionH>
            <wp:positionV relativeFrom="paragraph">
              <wp:posOffset>-1128395</wp:posOffset>
            </wp:positionV>
            <wp:extent cx="6991350" cy="264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1350" cy="264795"/>
                    </a:xfrm>
                    <a:prstGeom prst="rect">
                      <a:avLst/>
                    </a:prstGeom>
                    <a:noFill/>
                  </pic:spPr>
                </pic:pic>
              </a:graphicData>
            </a:graphic>
          </wp:anchor>
        </w:drawing>
        <w:drawing>
          <wp:anchor simplePos="0" relativeHeight="251657728" behindDoc="1" locked="0" layoutInCell="0" allowOverlap="1">
            <wp:simplePos x="0" y="0"/>
            <wp:positionH relativeFrom="column">
              <wp:posOffset>-2075815</wp:posOffset>
            </wp:positionH>
            <wp:positionV relativeFrom="paragraph">
              <wp:posOffset>-718820</wp:posOffset>
            </wp:positionV>
            <wp:extent cx="6991350" cy="2647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1350" cy="264795"/>
                    </a:xfrm>
                    <a:prstGeom prst="rect">
                      <a:avLst/>
                    </a:prstGeom>
                    <a:noFill/>
                  </pic:spPr>
                </pic:pic>
              </a:graphicData>
            </a:graphic>
          </wp:anchor>
        </w:drawing>
        <w:drawing>
          <wp:anchor simplePos="0" relativeHeight="251657728" behindDoc="1" locked="0" layoutInCell="0" allowOverlap="1">
            <wp:simplePos x="0" y="0"/>
            <wp:positionH relativeFrom="column">
              <wp:posOffset>-2075815</wp:posOffset>
            </wp:positionH>
            <wp:positionV relativeFrom="paragraph">
              <wp:posOffset>-309245</wp:posOffset>
            </wp:positionV>
            <wp:extent cx="6991350" cy="144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1350" cy="1447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20"/>
            <w:col w:w="7740"/>
          </w:cols>
          <w:pgMar w:left="640" w:top="121" w:right="239" w:bottom="1440" w:gutter="0" w:footer="0" w:header="0"/>
          <w:type w:val="continuous"/>
        </w:sectPr>
      </w:pP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6"/>
                <w:szCs w:val="16"/>
                <w:b w:val="1"/>
                <w:bCs w:val="1"/>
                <w:color w:val="auto"/>
              </w:rPr>
              <w:t>Common Stock</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Accumulated</w:t>
            </w:r>
          </w:p>
        </w:tc>
        <w:tc>
          <w:tcPr>
            <w:tcW w:w="1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Additional</w:t>
            </w: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Share</w:t>
            </w:r>
          </w:p>
        </w:tc>
        <w:tc>
          <w:tcPr>
            <w:tcW w:w="1340" w:type="dxa"/>
            <w:vAlign w:val="bottom"/>
            <w:vMerge w:val="continue"/>
          </w:tcPr>
          <w:p>
            <w:pPr>
              <w:spacing w:after="0"/>
              <w:rPr>
                <w:sz w:val="19"/>
                <w:szCs w:val="19"/>
                <w:color w:val="auto"/>
              </w:rPr>
            </w:pPr>
          </w:p>
        </w:tc>
        <w:tc>
          <w:tcPr>
            <w:tcW w:w="1180" w:type="dxa"/>
            <w:vAlign w:val="bottom"/>
            <w:vMerge w:val="restart"/>
          </w:tcPr>
          <w:p>
            <w:pPr>
              <w:jc w:val="right"/>
              <w:ind w:right="12"/>
              <w:spacing w:after="0"/>
              <w:rPr>
                <w:sz w:val="20"/>
                <w:szCs w:val="20"/>
                <w:color w:val="auto"/>
              </w:rPr>
            </w:pPr>
            <w:r>
              <w:rPr>
                <w:rFonts w:ascii="Arial" w:cs="Arial" w:eastAsia="Arial" w:hAnsi="Arial"/>
                <w:sz w:val="16"/>
                <w:szCs w:val="16"/>
                <w:b w:val="1"/>
                <w:bCs w:val="1"/>
                <w:color w:val="auto"/>
              </w:rPr>
              <w:t>Accumulated</w:t>
            </w:r>
          </w:p>
        </w:tc>
        <w:tc>
          <w:tcPr>
            <w:tcW w:w="1160" w:type="dxa"/>
            <w:vAlign w:val="bottom"/>
          </w:tcPr>
          <w:p>
            <w:pPr>
              <w:jc w:val="center"/>
              <w:ind w:left="13"/>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900" w:type="dxa"/>
            <w:vAlign w:val="bottom"/>
            <w:vMerge w:val="restart"/>
          </w:tcPr>
          <w:p>
            <w:pPr>
              <w:jc w:val="right"/>
              <w:ind w:right="152"/>
              <w:spacing w:after="0"/>
              <w:rPr>
                <w:sz w:val="20"/>
                <w:szCs w:val="20"/>
                <w:color w:val="auto"/>
              </w:rPr>
            </w:pPr>
            <w:r>
              <w:rPr>
                <w:rFonts w:ascii="Arial" w:cs="Arial" w:eastAsia="Arial" w:hAnsi="Arial"/>
                <w:sz w:val="16"/>
                <w:szCs w:val="16"/>
                <w:b w:val="1"/>
                <w:bCs w:val="1"/>
                <w:color w:val="auto"/>
              </w:rPr>
              <w:t>Shares</w:t>
            </w:r>
          </w:p>
        </w:tc>
        <w:tc>
          <w:tcPr>
            <w:tcW w:w="90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Amount</w:t>
            </w: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paid-in</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repurchase</w:t>
            </w:r>
          </w:p>
        </w:tc>
        <w:tc>
          <w:tcPr>
            <w:tcW w:w="134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other</w:t>
            </w:r>
          </w:p>
        </w:tc>
        <w:tc>
          <w:tcPr>
            <w:tcW w:w="1180" w:type="dxa"/>
            <w:vAlign w:val="bottom"/>
            <w:vMerge w:val="continue"/>
          </w:tcPr>
          <w:p>
            <w:pPr>
              <w:spacing w:after="0"/>
              <w:rPr>
                <w:sz w:val="7"/>
                <w:szCs w:val="7"/>
                <w:color w:val="auto"/>
              </w:rPr>
            </w:pPr>
          </w:p>
        </w:tc>
        <w:tc>
          <w:tcPr>
            <w:tcW w:w="1160" w:type="dxa"/>
            <w:vAlign w:val="bottom"/>
            <w:vMerge w:val="restart"/>
          </w:tcPr>
          <w:p>
            <w:pPr>
              <w:jc w:val="center"/>
              <w:ind w:left="13"/>
              <w:spacing w:after="0"/>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comprehensive</w:t>
            </w:r>
          </w:p>
        </w:tc>
        <w:tc>
          <w:tcPr>
            <w:tcW w:w="1180" w:type="dxa"/>
            <w:vAlign w:val="bottom"/>
          </w:tcPr>
          <w:p>
            <w:pPr>
              <w:jc w:val="right"/>
              <w:ind w:right="272"/>
              <w:spacing w:after="0" w:line="161" w:lineRule="exact"/>
              <w:rPr>
                <w:sz w:val="20"/>
                <w:szCs w:val="20"/>
                <w:color w:val="auto"/>
              </w:rPr>
            </w:pPr>
            <w:r>
              <w:rPr>
                <w:rFonts w:ascii="Arial" w:cs="Arial" w:eastAsia="Arial" w:hAnsi="Arial"/>
                <w:sz w:val="16"/>
                <w:szCs w:val="16"/>
                <w:b w:val="1"/>
                <w:bCs w:val="1"/>
                <w:color w:val="auto"/>
              </w:rPr>
              <w:t>deficit</w:t>
            </w: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6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capital</w:t>
            </w:r>
          </w:p>
        </w:tc>
        <w:tc>
          <w:tcPr>
            <w:tcW w:w="1140" w:type="dxa"/>
            <w:vAlign w:val="bottom"/>
          </w:tcPr>
          <w:p>
            <w:pPr>
              <w:jc w:val="right"/>
              <w:spacing w:after="0" w:line="161" w:lineRule="exact"/>
              <w:rPr>
                <w:sz w:val="20"/>
                <w:szCs w:val="20"/>
                <w:color w:val="auto"/>
              </w:rPr>
            </w:pPr>
            <w:r>
              <w:rPr>
                <w:rFonts w:ascii="Arial" w:cs="Arial" w:eastAsia="Arial" w:hAnsi="Arial"/>
                <w:sz w:val="18"/>
                <w:szCs w:val="18"/>
                <w:b w:val="1"/>
                <w:bCs w:val="1"/>
                <w:color w:val="auto"/>
                <w:w w:val="99"/>
              </w:rPr>
              <w:t>commitment</w:t>
            </w: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loss</w:t>
            </w:r>
          </w:p>
        </w:tc>
        <w:tc>
          <w:tcPr>
            <w:tcW w:w="1180" w:type="dxa"/>
            <w:vAlign w:val="bottom"/>
          </w:tcPr>
          <w:p>
            <w:pPr>
              <w:spacing w:after="0"/>
              <w:rPr>
                <w:sz w:val="14"/>
                <w:szCs w:val="14"/>
                <w:color w:val="auto"/>
              </w:rPr>
            </w:pP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8"/>
              </w:rPr>
              <w:t>equity (deficit)</w:t>
            </w:r>
          </w:p>
        </w:tc>
        <w:tc>
          <w:tcPr>
            <w:tcW w:w="0" w:type="dxa"/>
            <w:vAlign w:val="bottom"/>
          </w:tcPr>
          <w:p>
            <w:pPr>
              <w:spacing w:after="0"/>
              <w:rPr>
                <w:sz w:val="1"/>
                <w:szCs w:val="1"/>
                <w:color w:val="auto"/>
              </w:rPr>
            </w:pPr>
          </w:p>
        </w:tc>
      </w:tr>
      <w:tr>
        <w:trPr>
          <w:trHeight w:val="54"/>
        </w:trPr>
        <w:tc>
          <w:tcPr>
            <w:tcW w:w="1620" w:type="dxa"/>
            <w:vAlign w:val="bottom"/>
            <w:tcBorders>
              <w:bottom w:val="single" w:sz="8" w:color="CCEEFF"/>
            </w:tcBorders>
          </w:tcPr>
          <w:p>
            <w:pPr>
              <w:spacing w:after="0"/>
              <w:rPr>
                <w:sz w:val="4"/>
                <w:szCs w:val="4"/>
                <w:color w:val="auto"/>
              </w:rPr>
            </w:pPr>
          </w:p>
        </w:tc>
        <w:tc>
          <w:tcPr>
            <w:tcW w:w="124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vMerge w:val="continue"/>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72"/>
              <w:spacing w:after="0"/>
              <w:rPr>
                <w:sz w:val="20"/>
                <w:szCs w:val="20"/>
                <w:color w:val="auto"/>
              </w:rPr>
            </w:pPr>
            <w:r>
              <w:rPr>
                <w:rFonts w:ascii="Arial" w:cs="Arial" w:eastAsia="Arial" w:hAnsi="Arial"/>
                <w:sz w:val="18"/>
                <w:szCs w:val="18"/>
                <w:b w:val="1"/>
                <w:bCs w:val="1"/>
                <w:color w:val="auto"/>
              </w:rPr>
              <w:t>125</w:t>
            </w:r>
          </w:p>
        </w:tc>
        <w:tc>
          <w:tcPr>
            <w:tcW w:w="900" w:type="dxa"/>
            <w:vAlign w:val="bottom"/>
            <w:shd w:val="clear" w:color="auto" w:fill="CCEEFF"/>
          </w:tcPr>
          <w:p>
            <w:pPr>
              <w:jc w:val="right"/>
              <w:ind w:right="271"/>
              <w:spacing w:after="0"/>
              <w:rPr>
                <w:sz w:val="20"/>
                <w:szCs w:val="20"/>
                <w:color w:val="auto"/>
              </w:rPr>
            </w:pPr>
            <w:r>
              <w:rPr>
                <w:rFonts w:ascii="Arial" w:cs="Arial" w:eastAsia="Arial" w:hAnsi="Arial"/>
                <w:sz w:val="18"/>
                <w:szCs w:val="18"/>
                <w:b w:val="1"/>
                <w:bCs w:val="1"/>
                <w:color w:val="auto"/>
              </w:rPr>
              <w:t>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0" w:type="dxa"/>
            <w:vAlign w:val="bottom"/>
          </w:tcPr>
          <w:p>
            <w:pPr>
              <w:spacing w:after="0"/>
              <w:rPr>
                <w:sz w:val="1"/>
                <w:szCs w:val="1"/>
                <w:color w:val="auto"/>
              </w:rPr>
            </w:pPr>
          </w:p>
        </w:tc>
      </w:tr>
      <w:tr>
        <w:trPr>
          <w:trHeight w:val="228"/>
        </w:trPr>
        <w:tc>
          <w:tcPr>
            <w:tcW w:w="1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2"/>
              <w:spacing w:after="0"/>
              <w:rPr>
                <w:sz w:val="20"/>
                <w:szCs w:val="20"/>
                <w:color w:val="auto"/>
              </w:rPr>
            </w:pPr>
            <w:r>
              <w:rPr>
                <w:rFonts w:ascii="Arial" w:cs="Arial" w:eastAsia="Arial" w:hAnsi="Arial"/>
                <w:sz w:val="18"/>
                <w:szCs w:val="18"/>
                <w:color w:val="auto"/>
              </w:rPr>
              <w:t>47</w:t>
            </w: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Common stock issued</w:t>
            </w:r>
          </w:p>
        </w:tc>
        <w:tc>
          <w:tcPr>
            <w:tcW w:w="42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Common   stock</w:t>
            </w:r>
          </w:p>
        </w:tc>
        <w:tc>
          <w:tcPr>
            <w:tcW w:w="1240" w:type="dxa"/>
            <w:vAlign w:val="bottom"/>
            <w:shd w:val="clear" w:color="auto" w:fill="CCEEFF"/>
          </w:tcPr>
          <w:p>
            <w:pPr>
              <w:ind w:left="80"/>
              <w:spacing w:after="0" w:line="175" w:lineRule="exact"/>
              <w:rPr>
                <w:sz w:val="20"/>
                <w:szCs w:val="20"/>
                <w:color w:val="auto"/>
              </w:rPr>
            </w:pPr>
            <w:r>
              <w:rPr>
                <w:rFonts w:ascii="Arial" w:cs="Arial" w:eastAsia="Arial" w:hAnsi="Arial"/>
                <w:sz w:val="18"/>
                <w:szCs w:val="18"/>
                <w:color w:val="auto"/>
              </w:rPr>
              <w:t>repurchased</w:t>
            </w:r>
          </w:p>
        </w:tc>
        <w:tc>
          <w:tcPr>
            <w:tcW w:w="420" w:type="dxa"/>
            <w:vAlign w:val="bottom"/>
            <w:shd w:val="clear" w:color="auto" w:fill="CCEEFF"/>
          </w:tcPr>
          <w:p>
            <w:pPr>
              <w:ind w:left="100"/>
              <w:spacing w:after="0" w:line="175" w:lineRule="exact"/>
              <w:rPr>
                <w:sz w:val="20"/>
                <w:szCs w:val="20"/>
                <w:color w:val="auto"/>
              </w:rPr>
            </w:pPr>
            <w:r>
              <w:rPr>
                <w:rFonts w:ascii="Arial" w:cs="Arial" w:eastAsia="Arial" w:hAnsi="Arial"/>
                <w:sz w:val="18"/>
                <w:szCs w:val="18"/>
                <w:color w:val="auto"/>
                <w:w w:val="99"/>
              </w:rPr>
              <w:t>and</w:t>
            </w:r>
          </w:p>
        </w:tc>
        <w:tc>
          <w:tcPr>
            <w:tcW w:w="9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canceled</w:t>
            </w:r>
          </w:p>
        </w:tc>
        <w:tc>
          <w:tcPr>
            <w:tcW w:w="1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continue"/>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90"/>
        </w:trPr>
        <w:tc>
          <w:tcPr>
            <w:tcW w:w="16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860" w:type="dxa"/>
            <w:vAlign w:val="bottom"/>
            <w:gridSpan w:val="2"/>
          </w:tcPr>
          <w:p>
            <w:pPr>
              <w:ind w:left="2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75"/>
        </w:trPr>
        <w:tc>
          <w:tcPr>
            <w:tcW w:w="162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rPr>
              <w:t>Share  repurchase</w:t>
            </w:r>
          </w:p>
        </w:tc>
        <w:tc>
          <w:tcPr>
            <w:tcW w:w="1660" w:type="dxa"/>
            <w:vAlign w:val="bottom"/>
            <w:gridSpan w:val="2"/>
            <w:shd w:val="clear" w:color="auto" w:fill="CCEEFF"/>
          </w:tcPr>
          <w:p>
            <w:pPr>
              <w:ind w:left="80"/>
              <w:spacing w:after="0" w:line="175" w:lineRule="exact"/>
              <w:rPr>
                <w:sz w:val="20"/>
                <w:szCs w:val="20"/>
                <w:color w:val="auto"/>
              </w:rPr>
            </w:pPr>
            <w:r>
              <w:rPr>
                <w:rFonts w:ascii="Arial" w:cs="Arial" w:eastAsia="Arial" w:hAnsi="Arial"/>
                <w:sz w:val="18"/>
                <w:szCs w:val="18"/>
                <w:color w:val="auto"/>
              </w:rPr>
              <w:t>liability  movement,</w:t>
            </w:r>
          </w:p>
        </w:tc>
        <w:tc>
          <w:tcPr>
            <w:tcW w:w="9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6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90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1140" w:type="dxa"/>
            <w:vAlign w:val="bottom"/>
            <w:vMerge w:val="continue"/>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90"/>
        </w:trPr>
        <w:tc>
          <w:tcPr>
            <w:tcW w:w="1620" w:type="dxa"/>
            <w:vAlign w:val="bottom"/>
            <w:vMerge w:val="continue"/>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1340" w:type="dxa"/>
            <w:vAlign w:val="bottom"/>
            <w:vMerge w:val="continue"/>
            <w:shd w:val="clear" w:color="auto" w:fill="CCEEFF"/>
          </w:tcPr>
          <w:p>
            <w:pPr>
              <w:spacing w:after="0"/>
              <w:rPr>
                <w:sz w:val="7"/>
                <w:szCs w:val="7"/>
                <w:color w:val="auto"/>
              </w:rPr>
            </w:pPr>
          </w:p>
        </w:tc>
        <w:tc>
          <w:tcPr>
            <w:tcW w:w="1180" w:type="dxa"/>
            <w:vAlign w:val="bottom"/>
            <w:vMerge w:val="continue"/>
            <w:shd w:val="clear" w:color="auto" w:fill="CCEEFF"/>
          </w:tcPr>
          <w:p>
            <w:pPr>
              <w:spacing w:after="0"/>
              <w:rPr>
                <w:sz w:val="7"/>
                <w:szCs w:val="7"/>
                <w:color w:val="auto"/>
              </w:rPr>
            </w:pPr>
          </w:p>
        </w:tc>
        <w:tc>
          <w:tcPr>
            <w:tcW w:w="11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Settlement of tax on equity awards</w:t>
            </w:r>
          </w:p>
        </w:tc>
        <w:tc>
          <w:tcPr>
            <w:tcW w:w="4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2025</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125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20"/>
          </w:cols>
          <w:pgMar w:left="640" w:top="121" w:right="239" w:bottom="1440" w:gutter="0" w:footer="0" w:header="0"/>
          <w:type w:val="continuous"/>
        </w:sectPr>
      </w:pPr>
    </w:p>
    <w:bookmarkStart w:id="6" w:name="page7"/>
    <w:bookmarkEnd w:id="6"/>
    <w:p>
      <w:pPr>
        <w:jc w:val="center"/>
        <w:ind w:right="2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(Amounts in millions)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jc w:val="center"/>
        <w:ind w:left="8440"/>
        <w:spacing w:after="0"/>
        <w:rPr>
          <w:sz w:val="20"/>
          <w:szCs w:val="20"/>
          <w:color w:val="auto"/>
        </w:rPr>
      </w:pPr>
      <w:r>
        <w:rPr>
          <w:rFonts w:ascii="Arial" w:cs="Arial" w:eastAsia="Arial" w:hAnsi="Arial"/>
          <w:sz w:val="18"/>
          <w:szCs w:val="18"/>
          <w:b w:val="1"/>
          <w:bCs w:val="1"/>
          <w:color w:val="auto"/>
        </w:rPr>
        <w:t>Three Months Ended March</w:t>
      </w:r>
    </w:p>
    <w:p>
      <w:pPr>
        <w:jc w:val="center"/>
        <w:ind w:left="8440"/>
        <w:spacing w:after="0"/>
        <w:rPr>
          <w:sz w:val="20"/>
          <w:szCs w:val="20"/>
          <w:color w:val="auto"/>
        </w:rPr>
      </w:pPr>
      <w:r>
        <w:rPr>
          <w:rFonts w:ascii="Arial" w:cs="Arial" w:eastAsia="Arial" w:hAnsi="Arial"/>
          <w:sz w:val="18"/>
          <w:szCs w:val="18"/>
          <w:b w:val="1"/>
          <w:bCs w:val="1"/>
          <w:color w:val="auto"/>
        </w:rPr>
        <w:t>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3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r>
      <w:tr>
        <w:trPr>
          <w:trHeight w:val="20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8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net cash from operating activities:</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expense</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Impairment of tangible and intangible assets</w:t>
            </w:r>
          </w:p>
        </w:tc>
        <w:tc>
          <w:tcPr>
            <w:tcW w:w="840" w:type="dxa"/>
            <w:vAlign w:val="bottom"/>
          </w:tcPr>
          <w:p>
            <w:pPr>
              <w:spacing w:after="0"/>
              <w:rPr>
                <w:sz w:val="19"/>
                <w:szCs w:val="19"/>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Impact from foreign exchange movements</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adjustments, net</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Change in operating assets and liabilities: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assets</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Accrued legal and settlement expenses</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and non-current liabilities</w:t>
            </w: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in-process research and development and intangible assets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Purchases of investments in debt securities</w:t>
            </w: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Sales and maturities of debt securities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paid for repurchases of common stock</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8"/>
        </w:trPr>
        <w:tc>
          <w:tcPr>
            <w:tcW w:w="8260" w:type="dxa"/>
            <w:vAlign w:val="bottom"/>
          </w:tcPr>
          <w:p>
            <w:pPr>
              <w:ind w:left="240"/>
              <w:spacing w:after="0"/>
              <w:rPr>
                <w:sz w:val="20"/>
                <w:szCs w:val="20"/>
                <w:color w:val="auto"/>
              </w:rPr>
            </w:pPr>
            <w:r>
              <w:rPr>
                <w:rFonts w:ascii="Arial" w:cs="Arial" w:eastAsia="Arial" w:hAnsi="Arial"/>
                <w:sz w:val="18"/>
                <w:szCs w:val="18"/>
                <w:color w:val="auto"/>
              </w:rPr>
              <w:t>Repayments of debt</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Settlement of tax on equity awards</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22"/>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r>
      <w:tr>
        <w:trPr>
          <w:trHeight w:val="20"/>
        </w:trPr>
        <w:tc>
          <w:tcPr>
            <w:tcW w:w="8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640" w:top="121" w:right="45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40" w:right="3640" w:hanging="333"/>
        <w:spacing w:after="0" w:line="436" w:lineRule="auto"/>
        <w:tabs>
          <w:tab w:leader="none" w:pos="217"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 Basis of Presentation, and Recently Issued Accounting Standards Business Overview</w:t>
      </w:r>
    </w:p>
    <w:p>
      <w:pPr>
        <w:jc w:val="center"/>
        <w:ind w:right="140"/>
        <w:spacing w:after="0" w:line="290" w:lineRule="auto"/>
        <w:rPr>
          <w:sz w:val="20"/>
          <w:szCs w:val="20"/>
          <w:color w:val="auto"/>
        </w:rPr>
      </w:pPr>
      <w:r>
        <w:rPr>
          <w:rFonts w:ascii="Arial" w:cs="Arial" w:eastAsia="Arial" w:hAnsi="Arial"/>
          <w:sz w:val="17"/>
          <w:szCs w:val="17"/>
          <w:color w:val="auto"/>
        </w:rPr>
        <w:t>Indivior PLC and its subsidiaries (together, “Indivior” or the “Company”) is a global pharmaceutical company working to help change patients’ lives by pioneering life-transforming treatment for addiction, including SUBLOCADE (buprenorphine extended-release) injection for subcutaneous use, a long-acting injectable (LAI) for opioid use disorder and OPVEE (Nalmefene) nasal spray for opioid overdose recovery.</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Consolidation</w:t>
      </w:r>
    </w:p>
    <w:p>
      <w:pPr>
        <w:spacing w:after="0" w:line="169" w:lineRule="exact"/>
        <w:rPr>
          <w:sz w:val="20"/>
          <w:szCs w:val="20"/>
          <w:color w:val="auto"/>
        </w:rPr>
      </w:pPr>
    </w:p>
    <w:p>
      <w:pPr>
        <w:ind w:right="140" w:firstLine="323"/>
        <w:spacing w:after="0" w:line="258" w:lineRule="auto"/>
        <w:rPr>
          <w:sz w:val="20"/>
          <w:szCs w:val="20"/>
          <w:color w:val="auto"/>
        </w:rPr>
      </w:pPr>
      <w:r>
        <w:rPr>
          <w:rFonts w:ascii="Arial" w:cs="Arial" w:eastAsia="Arial" w:hAnsi="Arial"/>
          <w:sz w:val="18"/>
          <w:szCs w:val="18"/>
          <w:color w:val="auto"/>
        </w:rPr>
        <w:t>The accompanying unaudited interim condensed consolidated financial statements and related notes should be read in conjunction with the audited Consolidated Financial Statements of Indivior PLC and its subsidiaries and related notes as contained in the Company’s Annual Report on Form 10-K for the year ended December 31, 2024. The unaudited interim financial statements include all adjustments (consisting only of normal recurring adjustments) and accruals necessary in the judgment of management for a fair statement of the results for the periods presented.</w:t>
      </w:r>
    </w:p>
    <w:p>
      <w:pPr>
        <w:spacing w:after="0" w:line="124" w:lineRule="exact"/>
        <w:rPr>
          <w:sz w:val="20"/>
          <w:szCs w:val="20"/>
          <w:color w:val="auto"/>
        </w:rPr>
      </w:pPr>
    </w:p>
    <w:p>
      <w:pPr>
        <w:ind w:right="600" w:firstLine="323"/>
        <w:spacing w:after="0" w:line="285" w:lineRule="auto"/>
        <w:rPr>
          <w:sz w:val="20"/>
          <w:szCs w:val="20"/>
          <w:color w:val="auto"/>
        </w:rPr>
      </w:pPr>
      <w:r>
        <w:rPr>
          <w:rFonts w:ascii="Arial" w:cs="Arial" w:eastAsia="Arial" w:hAnsi="Arial"/>
          <w:sz w:val="18"/>
          <w:szCs w:val="18"/>
          <w:color w:val="auto"/>
        </w:rPr>
        <w:t xml:space="preserve">The accounting policies of the Company are consistent with those disclosed in </w:t>
      </w:r>
      <w:r>
        <w:rPr>
          <w:rFonts w:ascii="Arial" w:cs="Arial" w:eastAsia="Arial" w:hAnsi="Arial"/>
          <w:sz w:val="18"/>
          <w:szCs w:val="18"/>
          <w:i w:val="1"/>
          <w:iCs w:val="1"/>
          <w:color w:val="auto"/>
        </w:rPr>
        <w:t>"Item 1. Financial Statements - Note 2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of our Annual Report on Form 10-K for the year ended December 31, 2024.</w:t>
      </w:r>
    </w:p>
    <w:p>
      <w:pPr>
        <w:spacing w:after="0" w:line="100" w:lineRule="exact"/>
        <w:rPr>
          <w:sz w:val="20"/>
          <w:szCs w:val="20"/>
          <w:color w:val="auto"/>
        </w:rPr>
      </w:pPr>
    </w:p>
    <w:p>
      <w:pPr>
        <w:ind w:right="160" w:firstLine="323"/>
        <w:spacing w:after="0" w:line="285" w:lineRule="auto"/>
        <w:rPr>
          <w:sz w:val="20"/>
          <w:szCs w:val="20"/>
          <w:color w:val="auto"/>
        </w:rPr>
      </w:pPr>
      <w:r>
        <w:rPr>
          <w:rFonts w:ascii="Arial" w:cs="Arial" w:eastAsia="Arial" w:hAnsi="Arial"/>
          <w:sz w:val="18"/>
          <w:szCs w:val="18"/>
          <w:color w:val="auto"/>
        </w:rPr>
        <w:t>Columns and rows within tables may not add due to rounding. Percentages and per share data have been calculated using actual, non-rounded figures.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Use of Estimates and Judgments</w:t>
      </w:r>
    </w:p>
    <w:p>
      <w:pPr>
        <w:spacing w:after="0" w:line="169" w:lineRule="exact"/>
        <w:rPr>
          <w:sz w:val="20"/>
          <w:szCs w:val="20"/>
          <w:color w:val="auto"/>
        </w:rPr>
      </w:pPr>
    </w:p>
    <w:p>
      <w:pPr>
        <w:ind w:firstLine="323"/>
        <w:spacing w:after="0" w:line="290"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Significant estimates are used in determining items such as accruals for returns, incentives and rebates, certain accrued expenses, acquisitions, and ongoing litigation. Actual results may differ from those estimates.</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new accounting standards issued or adopted in the first quarter of 2025.</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 Not Yet Adopted</w:t>
      </w:r>
    </w:p>
    <w:p>
      <w:pPr>
        <w:spacing w:after="0" w:line="171" w:lineRule="exact"/>
        <w:rPr>
          <w:sz w:val="20"/>
          <w:szCs w:val="20"/>
          <w:color w:val="auto"/>
        </w:rPr>
      </w:pPr>
    </w:p>
    <w:p>
      <w:pPr>
        <w:ind w:right="580" w:firstLine="323"/>
        <w:spacing w:after="0" w:line="283" w:lineRule="auto"/>
        <w:rPr>
          <w:sz w:val="20"/>
          <w:szCs w:val="20"/>
          <w:color w:val="auto"/>
        </w:rPr>
      </w:pPr>
      <w:r>
        <w:rPr>
          <w:rFonts w:ascii="Arial" w:cs="Arial" w:eastAsia="Arial" w:hAnsi="Arial"/>
          <w:sz w:val="18"/>
          <w:szCs w:val="18"/>
          <w:i w:val="1"/>
          <w:iCs w:val="1"/>
          <w:color w:val="auto"/>
        </w:rPr>
        <w:t>ASU 2024-03: Income Statement—Reporting Comprehensive Income—Expense Disaggregation Disclosures (Subtopic 220-40)— Disaggregation of Income Statement Expenses</w:t>
      </w:r>
    </w:p>
    <w:p>
      <w:pPr>
        <w:spacing w:after="0" w:line="101" w:lineRule="exact"/>
        <w:rPr>
          <w:sz w:val="20"/>
          <w:szCs w:val="20"/>
          <w:color w:val="auto"/>
        </w:rPr>
      </w:pPr>
    </w:p>
    <w:p>
      <w:pPr>
        <w:ind w:right="140" w:firstLine="323"/>
        <w:spacing w:after="0" w:line="267" w:lineRule="auto"/>
        <w:rPr>
          <w:sz w:val="20"/>
          <w:szCs w:val="20"/>
          <w:color w:val="auto"/>
        </w:rPr>
      </w:pPr>
      <w:r>
        <w:rPr>
          <w:rFonts w:ascii="Arial" w:cs="Arial" w:eastAsia="Arial" w:hAnsi="Arial"/>
          <w:sz w:val="18"/>
          <w:szCs w:val="18"/>
          <w:color w:val="auto"/>
        </w:rPr>
        <w:t>This update requires disclosure in the notes to the financial statements of specified information about certain costs and expenses and is required to be effective for the Company for fiscal periods beginning after December 15, 2026. As this accounting standard only impacts disclosures, it will not impact the Company’s Consolidated Statements of Operations or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jc w:val="center"/>
        <w:ind w:right="-1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Geographic and Other Revenue Information</w:t>
      </w:r>
    </w:p>
    <w:p>
      <w:pPr>
        <w:spacing w:after="0" w:line="169" w:lineRule="exact"/>
        <w:rPr>
          <w:sz w:val="20"/>
          <w:szCs w:val="20"/>
          <w:color w:val="auto"/>
        </w:rPr>
      </w:pPr>
    </w:p>
    <w:p>
      <w:pPr>
        <w:ind w:right="180" w:firstLine="323"/>
        <w:spacing w:after="0" w:line="261" w:lineRule="auto"/>
        <w:rPr>
          <w:sz w:val="20"/>
          <w:szCs w:val="20"/>
          <w:color w:val="auto"/>
        </w:rPr>
      </w:pPr>
      <w:r>
        <w:rPr>
          <w:rFonts w:ascii="Arial" w:cs="Arial" w:eastAsia="Arial" w:hAnsi="Arial"/>
          <w:sz w:val="18"/>
          <w:szCs w:val="18"/>
          <w:color w:val="auto"/>
        </w:rPr>
        <w:t>The Company operates in a single operating and reportable segment for all periods presented and the CEO has been identified as the chief operating decision maker (“CODM”). The CODM uses income from operations to measure the profitability of the segment. These amounts are reported on the Condensed Consolidated Statements of Operations. The measure of segment assets is reported on the Condensed Consolidated Balance Sheets as total consolidated assets.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financial data provided to the CODM is as follows:</w:t>
      </w: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235"/>
        </w:trPr>
        <w:tc>
          <w:tcPr>
            <w:tcW w:w="698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7"/>
                <w:szCs w:val="17"/>
                <w:b w:val="1"/>
                <w:bCs w:val="1"/>
                <w:color w:val="auto"/>
              </w:rPr>
              <w:t>Three Months Ended March 31,</w:t>
            </w:r>
          </w:p>
        </w:tc>
        <w:tc>
          <w:tcPr>
            <w:tcW w:w="500" w:type="dxa"/>
            <w:vAlign w:val="bottom"/>
            <w:tcBorders>
              <w:bottom w:val="single" w:sz="8" w:color="auto"/>
            </w:tcBorders>
          </w:tcPr>
          <w:p>
            <w:pPr>
              <w:spacing w:after="0"/>
              <w:rPr>
                <w:sz w:val="20"/>
                <w:szCs w:val="20"/>
                <w:color w:val="auto"/>
              </w:rPr>
            </w:pPr>
          </w:p>
        </w:tc>
      </w:tr>
      <w:tr>
        <w:trPr>
          <w:trHeight w:val="224"/>
        </w:trPr>
        <w:tc>
          <w:tcPr>
            <w:tcW w:w="69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2025</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2024</w:t>
            </w:r>
          </w:p>
        </w:tc>
        <w:tc>
          <w:tcPr>
            <w:tcW w:w="500" w:type="dxa"/>
            <w:vAlign w:val="bottom"/>
            <w:tcBorders>
              <w:bottom w:val="single" w:sz="8" w:color="auto"/>
            </w:tcBorders>
          </w:tcPr>
          <w:p>
            <w:pPr>
              <w:spacing w:after="0"/>
              <w:rPr>
                <w:sz w:val="19"/>
                <w:szCs w:val="19"/>
                <w:color w:val="auto"/>
              </w:rPr>
            </w:pPr>
          </w:p>
        </w:tc>
      </w:tr>
      <w:tr>
        <w:trPr>
          <w:trHeight w:val="208"/>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6"/>
        </w:trPr>
        <w:tc>
          <w:tcPr>
            <w:tcW w:w="6980" w:type="dxa"/>
            <w:vAlign w:val="bottom"/>
          </w:tcPr>
          <w:p>
            <w:pPr>
              <w:ind w:left="140"/>
              <w:spacing w:after="0"/>
              <w:rPr>
                <w:sz w:val="20"/>
                <w:szCs w:val="20"/>
                <w:color w:val="auto"/>
              </w:rPr>
            </w:pPr>
            <w:r>
              <w:rPr>
                <w:rFonts w:ascii="Arial" w:cs="Arial" w:eastAsia="Arial" w:hAnsi="Arial"/>
                <w:sz w:val="17"/>
                <w:szCs w:val="17"/>
                <w:color w:val="auto"/>
              </w:rPr>
              <w:t>SUBLOCADE</w:t>
            </w:r>
          </w:p>
        </w:tc>
        <w:tc>
          <w:tcPr>
            <w:tcW w:w="1300" w:type="dxa"/>
            <w:vAlign w:val="bottom"/>
          </w:tcPr>
          <w:p>
            <w:pPr>
              <w:jc w:val="right"/>
              <w:ind w:right="1115"/>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360" w:type="dxa"/>
            <w:vAlign w:val="bottom"/>
          </w:tcPr>
          <w:p>
            <w:pPr>
              <w:jc w:val="right"/>
              <w:ind w:right="1175"/>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31"/>
        </w:trPr>
        <w:tc>
          <w:tcPr>
            <w:tcW w:w="6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Sublingual &amp; other</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28"/>
        </w:trPr>
        <w:tc>
          <w:tcPr>
            <w:tcW w:w="6980" w:type="dxa"/>
            <w:vAlign w:val="bottom"/>
            <w:tcBorders>
              <w:bottom w:val="single" w:sz="8" w:color="CCEEFF"/>
            </w:tcBorders>
          </w:tcPr>
          <w:p>
            <w:pPr>
              <w:ind w:left="140"/>
              <w:spacing w:after="0" w:line="228" w:lineRule="exact"/>
              <w:rPr>
                <w:sz w:val="20"/>
                <w:szCs w:val="20"/>
                <w:color w:val="auto"/>
              </w:rPr>
            </w:pPr>
            <w:r>
              <w:rPr>
                <w:rFonts w:ascii="Arial" w:cs="Arial" w:eastAsia="Arial" w:hAnsi="Arial"/>
                <w:sz w:val="17"/>
                <w:szCs w:val="17"/>
                <w:color w:val="auto"/>
              </w:rPr>
              <w:t>PERSERIS</w:t>
            </w:r>
            <w:r>
              <w:rPr>
                <w:rFonts w:ascii="Arial" w:cs="Arial" w:eastAsia="Arial" w:hAnsi="Arial"/>
                <w:sz w:val="22"/>
                <w:szCs w:val="22"/>
                <w:color w:val="auto"/>
                <w:vertAlign w:val="superscript"/>
              </w:rPr>
              <w:t>1</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U.S.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241</w:t>
            </w:r>
          </w:p>
        </w:tc>
      </w:tr>
      <w:tr>
        <w:trPr>
          <w:trHeight w:val="22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 of World</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284</w:t>
            </w:r>
          </w:p>
        </w:tc>
      </w:tr>
      <w:tr>
        <w:trPr>
          <w:trHeight w:val="226"/>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246</w:t>
            </w:r>
          </w:p>
        </w:tc>
      </w:tr>
      <w:tr>
        <w:trPr>
          <w:trHeight w:val="215"/>
        </w:trPr>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8"/>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6"/>
        </w:trPr>
        <w:tc>
          <w:tcPr>
            <w:tcW w:w="6980" w:type="dxa"/>
            <w:vAlign w:val="bottom"/>
          </w:tcPr>
          <w:p>
            <w:pPr>
              <w:ind w:left="240"/>
              <w:spacing w:after="0"/>
              <w:rPr>
                <w:sz w:val="20"/>
                <w:szCs w:val="20"/>
                <w:color w:val="auto"/>
              </w:rPr>
            </w:pPr>
            <w:r>
              <w:rPr>
                <w:rFonts w:ascii="Arial" w:cs="Arial" w:eastAsia="Arial" w:hAnsi="Arial"/>
                <w:sz w:val="17"/>
                <w:szCs w:val="17"/>
                <w:i w:val="1"/>
                <w:iCs w:val="1"/>
                <w:color w:val="auto"/>
              </w:rPr>
              <w:t>Selling and marketing</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31"/>
        </w:trPr>
        <w:tc>
          <w:tcPr>
            <w:tcW w:w="6980" w:type="dxa"/>
            <w:vAlign w:val="bottom"/>
            <w:shd w:val="clear" w:color="auto" w:fill="CCEEFF"/>
          </w:tcPr>
          <w:p>
            <w:pPr>
              <w:ind w:left="240"/>
              <w:spacing w:after="0"/>
              <w:rPr>
                <w:sz w:val="20"/>
                <w:szCs w:val="20"/>
                <w:color w:val="auto"/>
              </w:rPr>
            </w:pPr>
            <w:r>
              <w:rPr>
                <w:rFonts w:ascii="Arial" w:cs="Arial" w:eastAsia="Arial" w:hAnsi="Arial"/>
                <w:sz w:val="17"/>
                <w:szCs w:val="17"/>
                <w:i w:val="1"/>
                <w:iCs w:val="1"/>
                <w:color w:val="auto"/>
              </w:rPr>
              <w:t>Administrative and general</w:t>
            </w:r>
          </w:p>
        </w:tc>
        <w:tc>
          <w:tcPr>
            <w:tcW w:w="130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r>
      <w:tr>
        <w:trPr>
          <w:trHeight w:val="222"/>
        </w:trPr>
        <w:tc>
          <w:tcPr>
            <w:tcW w:w="6980" w:type="dxa"/>
            <w:vAlign w:val="bottom"/>
          </w:tcPr>
          <w:p>
            <w:pPr>
              <w:ind w:left="140"/>
              <w:spacing w:after="0"/>
              <w:rPr>
                <w:sz w:val="20"/>
                <w:szCs w:val="20"/>
                <w:color w:val="auto"/>
              </w:rPr>
            </w:pPr>
            <w:r>
              <w:rPr>
                <w:rFonts w:ascii="Arial" w:cs="Arial" w:eastAsia="Arial" w:hAnsi="Arial"/>
                <w:sz w:val="17"/>
                <w:szCs w:val="17"/>
                <w:b w:val="1"/>
                <w:bCs w:val="1"/>
                <w:color w:val="auto"/>
              </w:rPr>
              <w:t>Total selling, general and administrative</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132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143</w:t>
            </w:r>
          </w:p>
        </w:tc>
      </w:tr>
      <w:tr>
        <w:trPr>
          <w:trHeight w:val="228"/>
        </w:trPr>
        <w:tc>
          <w:tcPr>
            <w:tcW w:w="6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Research and development</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26"/>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Litigation settlement</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171</w:t>
            </w:r>
          </w:p>
        </w:tc>
      </w:tr>
      <w:tr>
        <w:trPr>
          <w:trHeight w:val="222"/>
        </w:trPr>
        <w:tc>
          <w:tcPr>
            <w:tcW w:w="6980" w:type="dxa"/>
            <w:vAlign w:val="bottom"/>
          </w:tcPr>
          <w:p>
            <w:pPr>
              <w:ind w:left="20"/>
              <w:spacing w:after="0"/>
              <w:rPr>
                <w:sz w:val="20"/>
                <w:szCs w:val="20"/>
                <w:color w:val="auto"/>
              </w:rPr>
            </w:pPr>
            <w:r>
              <w:rPr>
                <w:rFonts w:ascii="Arial" w:cs="Arial" w:eastAsia="Arial" w:hAnsi="Arial"/>
                <w:sz w:val="17"/>
                <w:szCs w:val="17"/>
                <w:b w:val="1"/>
                <w:bCs w:val="1"/>
                <w:color w:val="auto"/>
              </w:rPr>
              <w:t>Operating income</w:t>
            </w: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b w:val="1"/>
                <w:bCs w:val="1"/>
                <w:color w:val="auto"/>
              </w:rPr>
              <w:t>66</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75</w:t>
            </w:r>
          </w:p>
        </w:tc>
      </w:tr>
      <w:tr>
        <w:trPr>
          <w:trHeight w:val="215"/>
        </w:trPr>
        <w:tc>
          <w:tcPr>
            <w:tcW w:w="69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6"/>
        </w:trPr>
        <w:tc>
          <w:tcPr>
            <w:tcW w:w="6980" w:type="dxa"/>
            <w:vAlign w:val="bottom"/>
          </w:tcPr>
          <w:p>
            <w:pPr>
              <w:ind w:left="20"/>
              <w:spacing w:after="0"/>
              <w:rPr>
                <w:sz w:val="20"/>
                <w:szCs w:val="20"/>
                <w:color w:val="auto"/>
              </w:rPr>
            </w:pPr>
            <w:r>
              <w:rPr>
                <w:rFonts w:ascii="Arial" w:cs="Arial" w:eastAsia="Arial" w:hAnsi="Arial"/>
                <w:sz w:val="17"/>
                <w:szCs w:val="17"/>
                <w:color w:val="auto"/>
              </w:rPr>
              <w:t>Other income and expenses:</w:t>
            </w:r>
          </w:p>
        </w:tc>
        <w:tc>
          <w:tcPr>
            <w:tcW w:w="1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31"/>
        </w:trPr>
        <w:tc>
          <w:tcPr>
            <w:tcW w:w="6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 income</w:t>
            </w: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26"/>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Interest expense</w:t>
            </w:r>
          </w:p>
        </w:tc>
        <w:tc>
          <w:tcPr>
            <w:tcW w:w="1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24"/>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w:t>
            </w:r>
          </w:p>
        </w:tc>
      </w:tr>
      <w:tr>
        <w:trPr>
          <w:trHeight w:val="215"/>
        </w:trPr>
        <w:tc>
          <w:tcPr>
            <w:tcW w:w="6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8"/>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5"/>
        </w:trPr>
        <w:tc>
          <w:tcPr>
            <w:tcW w:w="69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r>
      <w:tr>
        <w:trPr>
          <w:trHeight w:val="24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30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6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8"/>
        </w:trPr>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SUBLOCADE net revenue</w:t>
            </w:r>
          </w:p>
        </w:tc>
        <w:tc>
          <w:tcPr>
            <w:tcW w:w="1300" w:type="dxa"/>
            <w:vAlign w:val="bottom"/>
            <w:shd w:val="clear" w:color="auto" w:fill="CCEEFF"/>
          </w:tcPr>
          <w:p>
            <w:pPr>
              <w:jc w:val="right"/>
              <w:ind w:right="111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Marketing and promotion activities for PERSERIS were discontinued in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w:t>
      </w:r>
    </w:p>
    <w:p>
      <w:pPr>
        <w:spacing w:after="0" w:line="169" w:lineRule="exact"/>
        <w:rPr>
          <w:sz w:val="20"/>
          <w:szCs w:val="20"/>
          <w:color w:val="auto"/>
        </w:rPr>
      </w:pPr>
    </w:p>
    <w:p>
      <w:pPr>
        <w:ind w:right="60" w:firstLine="323"/>
        <w:spacing w:after="0" w:line="267" w:lineRule="auto"/>
        <w:rPr>
          <w:sz w:val="20"/>
          <w:szCs w:val="20"/>
          <w:color w:val="auto"/>
        </w:rPr>
      </w:pPr>
      <w:r>
        <w:rPr>
          <w:rFonts w:ascii="Arial" w:cs="Arial" w:eastAsia="Arial" w:hAnsi="Arial"/>
          <w:sz w:val="18"/>
          <w:szCs w:val="18"/>
          <w:color w:val="auto"/>
        </w:rPr>
        <w:t>Indivior is a global biopharmaceutical company, subject to taxation in several different jurisdictions. The Company's tax provision for each period presented was calculated using a forecasted annual tax rate, adjusted for discrete items occurring during the applicable period to arrive at an effective tax rate. The effective income tax rates for the relevant periods were as follows:</w:t>
      </w:r>
    </w:p>
    <w:p>
      <w:pPr>
        <w:spacing w:after="0" w:line="156"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80" w:type="dxa"/>
            <w:vAlign w:val="bottom"/>
            <w:tcBorders>
              <w:bottom w:val="single" w:sz="8" w:color="auto"/>
            </w:tcBorders>
          </w:tcPr>
          <w:p>
            <w:pPr>
              <w:spacing w:after="0"/>
              <w:rPr>
                <w:sz w:val="20"/>
                <w:szCs w:val="20"/>
                <w:color w:val="auto"/>
              </w:rPr>
            </w:pPr>
          </w:p>
        </w:tc>
      </w:tr>
      <w:tr>
        <w:trPr>
          <w:trHeight w:val="222"/>
        </w:trPr>
        <w:tc>
          <w:tcPr>
            <w:tcW w:w="67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22"/>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73</w:t>
            </w:r>
          </w:p>
        </w:tc>
      </w:tr>
      <w:tr>
        <w:trPr>
          <w:trHeight w:val="22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income tax expense</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w:t>
            </w:r>
          </w:p>
        </w:tc>
      </w:tr>
      <w:tr>
        <w:trPr>
          <w:trHeight w:val="247"/>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effective tax rate</w:t>
            </w:r>
          </w:p>
        </w:tc>
        <w:tc>
          <w:tcPr>
            <w:tcW w:w="13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00" w:firstLine="323"/>
        <w:spacing w:after="0" w:line="267" w:lineRule="auto"/>
        <w:rPr>
          <w:sz w:val="20"/>
          <w:szCs w:val="20"/>
          <w:color w:val="auto"/>
        </w:rPr>
      </w:pPr>
      <w:r>
        <w:rPr>
          <w:rFonts w:ascii="Arial" w:cs="Arial" w:eastAsia="Arial" w:hAnsi="Arial"/>
          <w:sz w:val="18"/>
          <w:szCs w:val="18"/>
          <w:color w:val="auto"/>
        </w:rPr>
        <w:t>Our income tax rate for the three months ended March 31, 2025 differs from the U.K. Federal statutory rate of 25%, due primarily to U.K. innovation deductions and intragroup financing transactions, partially offset by a U.K. global minimum top-up tax and share based compensation shortfall tax expense.</w:t>
      </w:r>
    </w:p>
    <w:p>
      <w:pPr>
        <w:spacing w:after="0" w:line="115"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Our income tax rate for the three months ended March 31, 2024 differs from the U.K. Federal statutory rate of 25%, due primarily to share based compensation excess tax benefits, intragroup financing transactions, and U.K. innovation deductions.</w:t>
      </w:r>
    </w:p>
    <w:p>
      <w:pPr>
        <w:spacing w:after="0" w:line="100" w:lineRule="exact"/>
        <w:rPr>
          <w:sz w:val="20"/>
          <w:szCs w:val="20"/>
          <w:color w:val="auto"/>
        </w:rPr>
      </w:pPr>
    </w:p>
    <w:p>
      <w:pPr>
        <w:ind w:right="160" w:firstLine="323"/>
        <w:spacing w:after="0" w:line="285" w:lineRule="auto"/>
        <w:rPr>
          <w:sz w:val="20"/>
          <w:szCs w:val="20"/>
          <w:color w:val="auto"/>
        </w:rPr>
      </w:pPr>
      <w:r>
        <w:rPr>
          <w:rFonts w:ascii="Arial" w:cs="Arial" w:eastAsia="Arial" w:hAnsi="Arial"/>
          <w:sz w:val="18"/>
          <w:szCs w:val="18"/>
          <w:color w:val="auto"/>
        </w:rPr>
        <w:t>During the three months ended March 31, 2025, there have been no material changes to the Company's unrecognized tax benefit when compared to the year ended December 31, 2024.</w:t>
      </w:r>
    </w:p>
    <w:p>
      <w:pPr>
        <w:spacing w:after="0" w:line="100" w:lineRule="exact"/>
        <w:rPr>
          <w:sz w:val="20"/>
          <w:szCs w:val="20"/>
          <w:color w:val="auto"/>
        </w:rPr>
      </w:pPr>
    </w:p>
    <w:p>
      <w:pPr>
        <w:ind w:right="80" w:firstLine="323"/>
        <w:spacing w:after="0" w:line="261" w:lineRule="auto"/>
        <w:rPr>
          <w:sz w:val="20"/>
          <w:szCs w:val="20"/>
          <w:color w:val="auto"/>
        </w:rPr>
      </w:pPr>
      <w:r>
        <w:rPr>
          <w:rFonts w:ascii="Arial" w:cs="Arial" w:eastAsia="Arial" w:hAnsi="Arial"/>
          <w:sz w:val="18"/>
          <w:szCs w:val="18"/>
          <w:color w:val="auto"/>
        </w:rPr>
        <w:t>The Company is no longer subject to U.K. examinations by tax authorities for fiscal years before 2019 and U.S. federal income tax examinations by tax authorities for fiscal years before 2021. There are ongoing U.K. and U.S. state and local audits covering 2018-2022. An estimate of reasonably possible additional tax liabilities and interest that could arise on resolution of these examinations, including the impact from later periods, is in the range of nil to $65 million.</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4. Inventories</w:t>
            </w: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368"/>
        </w:trPr>
        <w:tc>
          <w:tcPr>
            <w:tcW w:w="320" w:type="dxa"/>
            <w:vAlign w:val="bottom"/>
          </w:tcPr>
          <w:p>
            <w:pPr>
              <w:spacing w:after="0"/>
              <w:rPr>
                <w:sz w:val="24"/>
                <w:szCs w:val="24"/>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Inventories are comprised of:</w:t>
            </w: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4"/>
        </w:trPr>
        <w:tc>
          <w:tcPr>
            <w:tcW w:w="3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2"/>
          </w:tcPr>
          <w:p>
            <w:pPr>
              <w:spacing w:after="0"/>
              <w:rPr>
                <w:sz w:val="15"/>
                <w:szCs w:val="15"/>
                <w:color w:val="auto"/>
              </w:rPr>
            </w:pPr>
          </w:p>
        </w:tc>
        <w:tc>
          <w:tcPr>
            <w:tcW w:w="1740" w:type="dxa"/>
            <w:vAlign w:val="bottom"/>
            <w:tcBorders>
              <w:bottom w:val="single" w:sz="8" w:color="auto"/>
            </w:tcBorders>
            <w:gridSpan w:val="2"/>
          </w:tcPr>
          <w:p>
            <w:pPr>
              <w:spacing w:after="0"/>
              <w:rPr>
                <w:sz w:val="15"/>
                <w:szCs w:val="15"/>
                <w:color w:val="auto"/>
              </w:rPr>
            </w:pPr>
          </w:p>
        </w:tc>
      </w:tr>
      <w:tr>
        <w:trPr>
          <w:trHeight w:val="222"/>
        </w:trPr>
        <w:tc>
          <w:tcPr>
            <w:tcW w:w="3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2025</w:t>
            </w:r>
          </w:p>
        </w:tc>
        <w:tc>
          <w:tcPr>
            <w:tcW w:w="174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222"/>
        </w:trPr>
        <w:tc>
          <w:tcPr>
            <w:tcW w:w="320" w:type="dxa"/>
            <w:vAlign w:val="bottom"/>
          </w:tcPr>
          <w:p>
            <w:pPr>
              <w:spacing w:after="0"/>
              <w:rPr>
                <w:sz w:val="19"/>
                <w:szCs w:val="19"/>
                <w:color w:val="auto"/>
              </w:rPr>
            </w:pPr>
          </w:p>
        </w:tc>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consumables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8"/>
        </w:trPr>
        <w:tc>
          <w:tcPr>
            <w:tcW w:w="32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320" w:type="dxa"/>
            <w:vAlign w:val="bottom"/>
          </w:tcPr>
          <w:p>
            <w:pPr>
              <w:spacing w:after="0"/>
              <w:rPr>
                <w:sz w:val="19"/>
                <w:szCs w:val="19"/>
                <w:color w:val="auto"/>
              </w:rPr>
            </w:pPr>
          </w:p>
        </w:tc>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2"/>
        </w:trPr>
        <w:tc>
          <w:tcPr>
            <w:tcW w:w="320" w:type="dxa"/>
            <w:vAlign w:val="bottom"/>
          </w:tcPr>
          <w:p>
            <w:pPr>
              <w:spacing w:after="0"/>
              <w:rPr>
                <w:sz w:val="19"/>
                <w:szCs w:val="19"/>
                <w:color w:val="auto"/>
              </w:rPr>
            </w:pPr>
          </w:p>
        </w:tc>
        <w:tc>
          <w:tcPr>
            <w:tcW w:w="722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w:t>
            </w:r>
          </w:p>
        </w:tc>
      </w:tr>
      <w:tr>
        <w:trPr>
          <w:trHeight w:val="20"/>
        </w:trPr>
        <w:tc>
          <w:tcPr>
            <w:tcW w:w="3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right="40" w:firstLine="323"/>
        <w:spacing w:after="0" w:line="261" w:lineRule="auto"/>
        <w:rPr>
          <w:sz w:val="20"/>
          <w:szCs w:val="20"/>
          <w:color w:val="auto"/>
        </w:rPr>
      </w:pPr>
      <w:r>
        <w:rPr>
          <w:rFonts w:ascii="Arial" w:cs="Arial" w:eastAsia="Arial" w:hAnsi="Arial"/>
          <w:sz w:val="18"/>
          <w:szCs w:val="18"/>
          <w:color w:val="auto"/>
        </w:rPr>
        <w:t xml:space="preserve">Inventory expected to be sold more than one year from the balance sheet date is classified as noncurrent inventory and recorded in other noncurrent assets on the condensed consolidated balance sheets. At March 31, 2025 and December 31, 2024, the noncurrent portion of inventory was $12 million and $10 million, respectively and consisted primarily of raw materials and consumables (see </w:t>
      </w:r>
      <w:r>
        <w:rPr>
          <w:rFonts w:ascii="Arial" w:cs="Arial" w:eastAsia="Arial" w:hAnsi="Arial"/>
          <w:sz w:val="18"/>
          <w:szCs w:val="18"/>
          <w:i w:val="1"/>
          <w:iCs w:val="1"/>
          <w:color w:val="auto"/>
        </w:rPr>
        <w:t>Note 13. Revision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Previously Issued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5. Property, Plant and Equipment, Net</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68"/>
        </w:trPr>
        <w:tc>
          <w:tcPr>
            <w:tcW w:w="320" w:type="dxa"/>
            <w:vAlign w:val="bottom"/>
          </w:tcPr>
          <w:p>
            <w:pPr>
              <w:spacing w:after="0"/>
              <w:rPr>
                <w:sz w:val="24"/>
                <w:szCs w:val="24"/>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A summary of property, plant and equipment is as follows: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4"/>
        </w:trPr>
        <w:tc>
          <w:tcPr>
            <w:tcW w:w="320" w:type="dxa"/>
            <w:vAlign w:val="bottom"/>
          </w:tcPr>
          <w:p>
            <w:pPr>
              <w:spacing w:after="0"/>
              <w:rPr>
                <w:sz w:val="15"/>
                <w:szCs w:val="15"/>
                <w:color w:val="auto"/>
              </w:rPr>
            </w:pPr>
          </w:p>
        </w:tc>
        <w:tc>
          <w:tcPr>
            <w:tcW w:w="7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spacing w:after="0"/>
              <w:rPr>
                <w:sz w:val="15"/>
                <w:szCs w:val="15"/>
                <w:color w:val="auto"/>
              </w:rPr>
            </w:pPr>
          </w:p>
        </w:tc>
        <w:tc>
          <w:tcPr>
            <w:tcW w:w="1800" w:type="dxa"/>
            <w:vAlign w:val="bottom"/>
            <w:tcBorders>
              <w:bottom w:val="single" w:sz="8" w:color="auto"/>
            </w:tcBorders>
            <w:gridSpan w:val="2"/>
          </w:tcPr>
          <w:p>
            <w:pPr>
              <w:spacing w:after="0"/>
              <w:rPr>
                <w:sz w:val="15"/>
                <w:szCs w:val="15"/>
                <w:color w:val="auto"/>
              </w:rPr>
            </w:pPr>
          </w:p>
        </w:tc>
      </w:tr>
      <w:tr>
        <w:trPr>
          <w:trHeight w:val="222"/>
        </w:trPr>
        <w:tc>
          <w:tcPr>
            <w:tcW w:w="3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2025</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2024</w:t>
            </w:r>
          </w:p>
        </w:tc>
      </w:tr>
      <w:tr>
        <w:trPr>
          <w:trHeight w:val="222"/>
        </w:trPr>
        <w:tc>
          <w:tcPr>
            <w:tcW w:w="320" w:type="dxa"/>
            <w:vAlign w:val="bottom"/>
          </w:tcPr>
          <w:p>
            <w:pPr>
              <w:spacing w:after="0"/>
              <w:rPr>
                <w:sz w:val="19"/>
                <w:szCs w:val="19"/>
                <w:color w:val="auto"/>
              </w:rPr>
            </w:pPr>
          </w:p>
        </w:tc>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8"/>
        </w:trPr>
        <w:tc>
          <w:tcPr>
            <w:tcW w:w="3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8"/>
        </w:trPr>
        <w:tc>
          <w:tcPr>
            <w:tcW w:w="32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3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Gross property, plant and equipment</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190</w:t>
            </w:r>
          </w:p>
        </w:tc>
      </w:tr>
      <w:tr>
        <w:trPr>
          <w:trHeight w:val="228"/>
        </w:trPr>
        <w:tc>
          <w:tcPr>
            <w:tcW w:w="32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2"/>
        </w:trPr>
        <w:tc>
          <w:tcPr>
            <w:tcW w:w="32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r>
      <w:tr>
        <w:trPr>
          <w:trHeight w:val="20"/>
        </w:trPr>
        <w:tc>
          <w:tcPr>
            <w:tcW w:w="3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720" w:firstLine="323"/>
        <w:spacing w:after="0" w:line="285" w:lineRule="auto"/>
        <w:rPr>
          <w:sz w:val="20"/>
          <w:szCs w:val="20"/>
          <w:color w:val="auto"/>
        </w:rPr>
      </w:pPr>
      <w:r>
        <w:rPr>
          <w:rFonts w:ascii="Arial" w:cs="Arial" w:eastAsia="Arial" w:hAnsi="Arial"/>
          <w:sz w:val="18"/>
          <w:szCs w:val="18"/>
          <w:color w:val="auto"/>
        </w:rPr>
        <w:t>The Company capitalizes interest expense, if material, as part of the cost of construction of property, plant and equipment. Interest expense capitalized was $1 million in the three months ended March 31, 2025 and 2024.</w:t>
      </w:r>
    </w:p>
    <w:p>
      <w:pPr>
        <w:spacing w:after="0" w:line="100" w:lineRule="exact"/>
        <w:rPr>
          <w:sz w:val="20"/>
          <w:szCs w:val="20"/>
          <w:color w:val="auto"/>
        </w:rPr>
      </w:pPr>
    </w:p>
    <w:p>
      <w:pPr>
        <w:ind w:right="180" w:firstLine="323"/>
        <w:spacing w:after="0" w:line="285" w:lineRule="auto"/>
        <w:rPr>
          <w:sz w:val="20"/>
          <w:szCs w:val="20"/>
          <w:color w:val="auto"/>
        </w:rPr>
      </w:pPr>
      <w:r>
        <w:rPr>
          <w:rFonts w:ascii="Arial" w:cs="Arial" w:eastAsia="Arial" w:hAnsi="Arial"/>
          <w:sz w:val="18"/>
          <w:szCs w:val="18"/>
          <w:color w:val="auto"/>
        </w:rPr>
        <w:t>Capital expenditures of $2 million and $1 million were included in accounts payable and accrued expenses at March 31, 2025 and March 31, 2024, respectively.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540" w:type="dxa"/>
            <w:vAlign w:val="bottom"/>
          </w:tcPr>
          <w:p>
            <w:pPr>
              <w:spacing w:after="0"/>
              <w:rPr>
                <w:sz w:val="20"/>
                <w:szCs w:val="20"/>
                <w:color w:val="auto"/>
              </w:rPr>
            </w:pPr>
            <w:r>
              <w:rPr>
                <w:rFonts w:ascii="Arial" w:cs="Arial" w:eastAsia="Arial" w:hAnsi="Arial"/>
                <w:sz w:val="18"/>
                <w:szCs w:val="18"/>
                <w:b w:val="1"/>
                <w:bCs w:val="1"/>
                <w:color w:val="auto"/>
              </w:rPr>
              <w:t>6. Accounts Payable and Accrued Expenses</w:t>
            </w: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76"/>
        </w:trPr>
        <w:tc>
          <w:tcPr>
            <w:tcW w:w="75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2"/>
          </w:tcPr>
          <w:p>
            <w:pPr>
              <w:spacing w:after="0"/>
              <w:rPr>
                <w:sz w:val="15"/>
                <w:szCs w:val="15"/>
                <w:color w:val="auto"/>
              </w:rPr>
            </w:pPr>
          </w:p>
        </w:tc>
        <w:tc>
          <w:tcPr>
            <w:tcW w:w="1800" w:type="dxa"/>
            <w:vAlign w:val="bottom"/>
            <w:tcBorders>
              <w:bottom w:val="single" w:sz="8" w:color="auto"/>
            </w:tcBorders>
            <w:gridSpan w:val="2"/>
          </w:tcPr>
          <w:p>
            <w:pPr>
              <w:spacing w:after="0"/>
              <w:rPr>
                <w:sz w:val="15"/>
                <w:szCs w:val="15"/>
                <w:color w:val="auto"/>
              </w:rPr>
            </w:pPr>
          </w:p>
        </w:tc>
      </w:tr>
      <w:tr>
        <w:trPr>
          <w:trHeight w:val="222"/>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2025</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 2024</w:t>
            </w: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8"/>
        </w:trPr>
        <w:tc>
          <w:tcPr>
            <w:tcW w:w="7540" w:type="dxa"/>
            <w:vAlign w:val="bottom"/>
          </w:tcPr>
          <w:p>
            <w:pPr>
              <w:ind w:left="20"/>
              <w:spacing w:after="0"/>
              <w:rPr>
                <w:sz w:val="20"/>
                <w:szCs w:val="20"/>
                <w:color w:val="auto"/>
              </w:rPr>
            </w:pPr>
            <w:r>
              <w:rPr>
                <w:rFonts w:ascii="Arial" w:cs="Arial" w:eastAsia="Arial" w:hAnsi="Arial"/>
                <w:sz w:val="18"/>
                <w:szCs w:val="18"/>
                <w:color w:val="auto"/>
              </w:rPr>
              <w:t>Accrued employee-related obligations</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indirect tax and government fees</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8"/>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other expenses</w:t>
            </w:r>
          </w:p>
        </w:tc>
        <w:tc>
          <w:tcPr>
            <w:tcW w:w="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accounts payable and accrued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other expenses includes various unbilled costs covering marketing, research and development, legal, consulting and other.</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7. Accrued Litigation Settlement Expenses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6"/>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ind w:right="70"/>
              <w:spacing w:after="0"/>
              <w:rPr>
                <w:sz w:val="20"/>
                <w:szCs w:val="20"/>
                <w:color w:val="auto"/>
              </w:rPr>
            </w:pPr>
            <w:r>
              <w:rPr>
                <w:rFonts w:ascii="Arial" w:cs="Arial" w:eastAsia="Arial" w:hAnsi="Arial"/>
                <w:sz w:val="18"/>
                <w:szCs w:val="18"/>
                <w:b w:val="1"/>
                <w:bCs w:val="1"/>
                <w:color w:val="auto"/>
                <w:w w:val="99"/>
              </w:rPr>
              <w:t>March 31, 2025</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99"/>
              </w:rPr>
              <w:t>December 31, 2024</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Current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7"/>
              </w:rPr>
              <w:t>Non</w:t>
            </w:r>
          </w:p>
        </w:tc>
        <w:tc>
          <w:tcPr>
            <w:tcW w:w="200" w:type="dxa"/>
            <w:vAlign w:val="bottom"/>
          </w:tcPr>
          <w:p>
            <w:pPr>
              <w:spacing w:after="0"/>
              <w:rPr>
                <w:sz w:val="15"/>
                <w:szCs w:val="15"/>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5"/>
                <w:szCs w:val="15"/>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Current</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rPr>
              <w:t>Non</w:t>
            </w:r>
          </w:p>
        </w:tc>
        <w:tc>
          <w:tcPr>
            <w:tcW w:w="260" w:type="dxa"/>
            <w:vAlign w:val="bottom"/>
          </w:tcPr>
          <w:p>
            <w:pPr>
              <w:spacing w:after="0"/>
              <w:rPr>
                <w:sz w:val="15"/>
                <w:szCs w:val="15"/>
                <w:color w:val="auto"/>
              </w:rPr>
            </w:pPr>
          </w:p>
        </w:tc>
        <w:tc>
          <w:tcPr>
            <w:tcW w:w="7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9"/>
              </w:rPr>
              <w:t>current</w:t>
            </w:r>
          </w:p>
        </w:tc>
        <w:tc>
          <w:tcPr>
            <w:tcW w:w="2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current</w:t>
            </w:r>
          </w:p>
        </w:tc>
        <w:tc>
          <w:tcPr>
            <w:tcW w:w="2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20" w:type="dxa"/>
            <w:vAlign w:val="bottom"/>
          </w:tcPr>
          <w:p>
            <w:pPr>
              <w:spacing w:after="0"/>
              <w:rPr>
                <w:sz w:val="7"/>
                <w:szCs w:val="7"/>
                <w:color w:val="auto"/>
              </w:rPr>
            </w:pPr>
          </w:p>
        </w:tc>
        <w:tc>
          <w:tcPr>
            <w:tcW w:w="4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litigation settlement expenses</w:t>
            </w: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DOJ-related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Antitrust claims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Opioid litigation</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Total accrued litigation settlement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22"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DOJ-related</w:t>
      </w:r>
    </w:p>
    <w:p>
      <w:pPr>
        <w:spacing w:after="0" w:line="169" w:lineRule="exact"/>
        <w:rPr>
          <w:sz w:val="20"/>
          <w:szCs w:val="20"/>
          <w:color w:val="auto"/>
        </w:rPr>
      </w:pPr>
    </w:p>
    <w:p>
      <w:pPr>
        <w:ind w:right="220" w:firstLine="323"/>
        <w:spacing w:after="0" w:line="267" w:lineRule="auto"/>
        <w:rPr>
          <w:sz w:val="20"/>
          <w:szCs w:val="20"/>
          <w:color w:val="auto"/>
        </w:rPr>
      </w:pPr>
      <w:r>
        <w:rPr>
          <w:rFonts w:ascii="Arial" w:cs="Arial" w:eastAsia="Arial" w:hAnsi="Arial"/>
          <w:sz w:val="18"/>
          <w:szCs w:val="18"/>
          <w:color w:val="auto"/>
        </w:rPr>
        <w:t>In July 2020, the Company settled criminal and civil liability with the U.S. Department of Justice (DOJ), the U.S. Federal Trade Commission (FTC), and U.S. state attorneys general. A scheduled payment of $52 million was made during the three months ended March 31, 2025 with respect to this matter.</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Opioid litigation</w:t>
      </w:r>
    </w:p>
    <w:p>
      <w:pPr>
        <w:spacing w:after="0" w:line="169" w:lineRule="exact"/>
        <w:rPr>
          <w:sz w:val="20"/>
          <w:szCs w:val="20"/>
          <w:color w:val="auto"/>
        </w:rPr>
      </w:pPr>
    </w:p>
    <w:p>
      <w:pPr>
        <w:ind w:right="100" w:firstLine="323"/>
        <w:spacing w:after="0" w:line="285" w:lineRule="auto"/>
        <w:rPr>
          <w:sz w:val="20"/>
          <w:szCs w:val="20"/>
          <w:color w:val="auto"/>
        </w:rPr>
      </w:pPr>
      <w:r>
        <w:rPr>
          <w:rFonts w:ascii="Arial" w:cs="Arial" w:eastAsia="Arial" w:hAnsi="Arial"/>
          <w:sz w:val="18"/>
          <w:szCs w:val="18"/>
          <w:color w:val="auto"/>
        </w:rPr>
        <w:t>The accrual of $78 million at March 31, 2025 reflects the present value of the agreed amount in a preliminary settlement covering certain opioid litigation (including cases in the Opioid MDL). The provision is measured using a risk-free rate.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Antitrust claims</w:t>
      </w:r>
    </w:p>
    <w:p>
      <w:pPr>
        <w:spacing w:after="0" w:line="169" w:lineRule="exact"/>
        <w:rPr>
          <w:sz w:val="20"/>
          <w:szCs w:val="20"/>
          <w:color w:val="auto"/>
        </w:rPr>
      </w:pPr>
    </w:p>
    <w:p>
      <w:pPr>
        <w:ind w:right="40" w:firstLine="323"/>
        <w:spacing w:after="0" w:line="267" w:lineRule="auto"/>
        <w:rPr>
          <w:sz w:val="20"/>
          <w:szCs w:val="20"/>
          <w:color w:val="auto"/>
        </w:rPr>
      </w:pPr>
      <w:r>
        <w:rPr>
          <w:rFonts w:ascii="Arial" w:cs="Arial" w:eastAsia="Arial" w:hAnsi="Arial"/>
          <w:sz w:val="18"/>
          <w:szCs w:val="18"/>
          <w:color w:val="auto"/>
        </w:rPr>
        <w:t>An installment of $5 million was paid in the three months ended March 31, 2025 in relation to the last remaining antitrust litigation and the remaining accrual of $19 million at March 31, 2025 reflects the NPV at the risk-free rate of the amounts to be paid in 2025. This final settlement resolves all of the Company’s remaining legacy antitrust litigation.</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12. Commitments and Contingencies</w:t>
      </w:r>
      <w:r>
        <w:rPr>
          <w:rFonts w:ascii="Arial" w:cs="Arial" w:eastAsia="Arial" w:hAnsi="Arial"/>
          <w:sz w:val="18"/>
          <w:szCs w:val="18"/>
          <w:color w:val="auto"/>
        </w:rPr>
        <w:t xml:space="preserve"> for additional information on legal matters.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169"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The Company has a note purchase agreement with an original principal amount of $350 million and a committed revolving credit facility of $50 million, both of which mature in November 2030. None of the $50 million revolving credit facility has been utilized.</w:t>
      </w:r>
    </w:p>
    <w:p>
      <w:pPr>
        <w:spacing w:after="0" w:line="100" w:lineRule="exact"/>
        <w:rPr>
          <w:sz w:val="20"/>
          <w:szCs w:val="20"/>
          <w:color w:val="auto"/>
        </w:rPr>
      </w:pPr>
    </w:p>
    <w:p>
      <w:pPr>
        <w:ind w:right="20" w:firstLine="323"/>
        <w:spacing w:after="0" w:line="261" w:lineRule="auto"/>
        <w:rPr>
          <w:sz w:val="20"/>
          <w:szCs w:val="20"/>
          <w:color w:val="auto"/>
        </w:rPr>
      </w:pPr>
      <w:r>
        <w:rPr>
          <w:rFonts w:ascii="Arial" w:cs="Arial" w:eastAsia="Arial" w:hAnsi="Arial"/>
          <w:sz w:val="18"/>
          <w:szCs w:val="18"/>
          <w:color w:val="auto"/>
        </w:rPr>
        <w:t>The outstanding balance of the note purchase agreement of $346 million and $350 million as of March 31, 2025 and December 31, 2024, respectively, is secured by substantially all of the assets of subsidiaries of the Company, primarily in the form of guarantees issued by respective subsidiaries. Interest expense was $9 million and $7 million for the three months ended March 31, 2025 and March 31, 2024, respectively.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was in compliance with all debt covenants at March 31, 2025.</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Instruments and Fair Value Measurements</w:t>
      </w:r>
    </w:p>
    <w:p>
      <w:pPr>
        <w:spacing w:after="0" w:line="169" w:lineRule="exact"/>
        <w:rPr>
          <w:sz w:val="20"/>
          <w:szCs w:val="20"/>
          <w:color w:val="auto"/>
        </w:rPr>
      </w:pPr>
    </w:p>
    <w:p>
      <w:pPr>
        <w:ind w:right="340" w:firstLine="323"/>
        <w:spacing w:after="0" w:line="261" w:lineRule="auto"/>
        <w:rPr>
          <w:sz w:val="20"/>
          <w:szCs w:val="20"/>
          <w:color w:val="auto"/>
        </w:rPr>
      </w:pPr>
      <w:r>
        <w:rPr>
          <w:rFonts w:ascii="Arial" w:cs="Arial" w:eastAsia="Arial" w:hAnsi="Arial"/>
          <w:sz w:val="18"/>
          <w:szCs w:val="18"/>
          <w:color w:val="auto"/>
        </w:rPr>
        <w:t>Financial instruments include cash and cash equivalents, accounts receivable, accounts payable, debt, investments in corporate debt securities and investments in equity securities. The carrying value of these financial instruments, excluding debt instruments and the Company’s investments in corporate debt and equity securities, approximates fair value because of the short-term nature of these instruments.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three levels of inputs are used to measure fair value: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Significant other observable inputs.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Significant unobservable inputs.</w:t>
      </w:r>
    </w:p>
    <w:p>
      <w:pPr>
        <w:spacing w:after="0" w:line="169"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The Company’s only financial instruments which are measured at fair value on a recurring basis are equity securities. The fair value of the equity securities is based on quoted market prices (Level 1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on the measurement date. The fair value of equity securities at both March 31, 2025 and December 31, 2024 is $1 million.</w:t>
      </w:r>
    </w:p>
    <w:p>
      <w:pPr>
        <w:spacing w:after="0" w:line="169" w:lineRule="exact"/>
        <w:rPr>
          <w:sz w:val="20"/>
          <w:szCs w:val="20"/>
          <w:color w:val="auto"/>
        </w:rPr>
      </w:pPr>
    </w:p>
    <w:p>
      <w:pPr>
        <w:ind w:firstLine="323"/>
        <w:spacing w:after="0" w:line="267" w:lineRule="auto"/>
        <w:rPr>
          <w:sz w:val="20"/>
          <w:szCs w:val="20"/>
          <w:color w:val="auto"/>
        </w:rPr>
      </w:pPr>
      <w:r>
        <w:rPr>
          <w:rFonts w:ascii="Arial" w:cs="Arial" w:eastAsia="Arial" w:hAnsi="Arial"/>
          <w:sz w:val="18"/>
          <w:szCs w:val="18"/>
          <w:color w:val="auto"/>
        </w:rPr>
        <w:t>The fair value of debt at March 31, 2025 and December 31, 2024 is in line with the carrying value as the debt was recently issued, the Company's credit profile has not substantially changed, and the interest rate is a floating market-based rate. The fair value of debt is based on unobservable inputs and would be classified as Level 3 in the hierarchy above.</w:t>
      </w:r>
    </w:p>
    <w:p>
      <w:pPr>
        <w:spacing w:after="0" w:line="115"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The fair value of the Company’s corporate debt securities was $27 million and $27 million at March 31, 2025 and December 31, 2024, respectively. The fair value of the corporate debt securities held at amortized cost was calculated based on quoted market prices which would be classified as Level 1 in the fair value hierarchy above. At March 31, 2025, the Company's debt securities were held by a separate cell of an insurance company as part of an agreement to fund insurance coverage. These debt securities are classified as long-term investments on the condensed consolidated balance sheets as access to the investments is subject to contractual restrictions, regardless of the underlying investment maturity.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calculation of basic and diluted loss per share for the three months ended March 31, 2025 and 2024:</w:t>
      </w:r>
    </w:p>
    <w:p>
      <w:pPr>
        <w:spacing w:after="0" w:line="183"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25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Three Months Ended March</w:t>
            </w:r>
          </w:p>
        </w:tc>
      </w:tr>
      <w:tr>
        <w:trPr>
          <w:trHeight w:val="242"/>
        </w:trPr>
        <w:tc>
          <w:tcPr>
            <w:tcW w:w="8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5"/>
              </w:rPr>
              <w:t>31,</w:t>
            </w:r>
          </w:p>
        </w:tc>
        <w:tc>
          <w:tcPr>
            <w:tcW w:w="760" w:type="dxa"/>
            <w:vAlign w:val="bottom"/>
            <w:tcBorders>
              <w:bottom w:val="single" w:sz="8" w:color="auto"/>
            </w:tcBorders>
          </w:tcPr>
          <w:p>
            <w:pPr>
              <w:spacing w:after="0"/>
              <w:rPr>
                <w:sz w:val="21"/>
                <w:szCs w:val="21"/>
                <w:color w:val="auto"/>
              </w:rPr>
            </w:pPr>
          </w:p>
        </w:tc>
      </w:tr>
      <w:tr>
        <w:trPr>
          <w:trHeight w:val="222"/>
        </w:trPr>
        <w:tc>
          <w:tcPr>
            <w:tcW w:w="8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r>
        <w:trPr>
          <w:trHeight w:val="215"/>
        </w:trPr>
        <w:tc>
          <w:tcPr>
            <w:tcW w:w="8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Effect of potentially dilutive securities:</w:t>
            </w: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8"/>
        </w:trPr>
        <w:tc>
          <w:tcPr>
            <w:tcW w:w="8260" w:type="dxa"/>
            <w:vAlign w:val="bottom"/>
            <w:shd w:val="clear" w:color="auto" w:fill="CCEEFF"/>
          </w:tcPr>
          <w:p>
            <w:pPr>
              <w:ind w:left="240"/>
              <w:spacing w:after="0" w:line="229" w:lineRule="exact"/>
              <w:rPr>
                <w:sz w:val="20"/>
                <w:szCs w:val="20"/>
                <w:color w:val="auto"/>
              </w:rPr>
            </w:pPr>
            <w:r>
              <w:rPr>
                <w:rFonts w:ascii="Arial" w:cs="Arial" w:eastAsia="Arial" w:hAnsi="Arial"/>
                <w:sz w:val="18"/>
                <w:szCs w:val="18"/>
                <w:color w:val="auto"/>
              </w:rPr>
              <w:t>Restricted stock awards</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Diluted weighted-average shares outstanding</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215"/>
        </w:trPr>
        <w:tc>
          <w:tcPr>
            <w:tcW w:w="8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0.45</w:t>
            </w: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The potential shares excluded from the diluted earnings per share computation because of the antidilutive impact were nil in three months ended March 31, 2025 and March 31,</w:t>
      </w:r>
    </w:p>
    <w:p>
      <w:pPr>
        <w:spacing w:after="0"/>
        <w:rPr>
          <w:sz w:val="20"/>
          <w:szCs w:val="20"/>
          <w:color w:val="auto"/>
        </w:rPr>
      </w:pPr>
      <w:r>
        <w:rPr>
          <w:rFonts w:ascii="Arial" w:cs="Arial" w:eastAsia="Arial" w:hAnsi="Arial"/>
          <w:sz w:val="14"/>
          <w:szCs w:val="14"/>
          <w:color w:val="auto"/>
        </w:rPr>
        <w:t>2024.</w:t>
      </w:r>
    </w:p>
    <w:p>
      <w:pPr>
        <w:spacing w:after="0" w:line="151" w:lineRule="exact"/>
        <w:rPr>
          <w:sz w:val="20"/>
          <w:szCs w:val="20"/>
          <w:color w:val="auto"/>
        </w:rPr>
      </w:pPr>
    </w:p>
    <w:p>
      <w:pPr>
        <w:ind w:right="200" w:firstLine="323"/>
        <w:spacing w:after="0" w:line="285" w:lineRule="auto"/>
        <w:rPr>
          <w:sz w:val="20"/>
          <w:szCs w:val="20"/>
          <w:color w:val="auto"/>
        </w:rPr>
      </w:pPr>
      <w:r>
        <w:rPr>
          <w:rFonts w:ascii="Arial" w:cs="Arial" w:eastAsia="Arial" w:hAnsi="Arial"/>
          <w:sz w:val="18"/>
          <w:szCs w:val="18"/>
          <w:color w:val="auto"/>
        </w:rPr>
        <w:t>The weighted average number of shares is adjusted for the number of shares granted to the extent market conditions have been met at the balance sheet date and determined using the treasury stock method.</w:t>
      </w:r>
    </w:p>
    <w:p>
      <w:pPr>
        <w:spacing w:after="0" w:line="100" w:lineRule="exact"/>
        <w:rPr>
          <w:sz w:val="20"/>
          <w:szCs w:val="20"/>
          <w:color w:val="auto"/>
        </w:rPr>
      </w:pPr>
    </w:p>
    <w:p>
      <w:pPr>
        <w:ind w:right="340" w:firstLine="323"/>
        <w:spacing w:after="0" w:line="285" w:lineRule="auto"/>
        <w:rPr>
          <w:sz w:val="20"/>
          <w:szCs w:val="20"/>
          <w:color w:val="auto"/>
        </w:rPr>
      </w:pPr>
      <w:r>
        <w:rPr>
          <w:rFonts w:ascii="Arial" w:cs="Arial" w:eastAsia="Arial" w:hAnsi="Arial"/>
          <w:sz w:val="18"/>
          <w:szCs w:val="18"/>
          <w:color w:val="auto"/>
        </w:rPr>
        <w:t>Conditional awards of 3 million and 2 million shares were granted under the Company’s Long-Term Incentive Plan in the three months ended March 31, 2025 and 2024,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Payments</w:t>
      </w:r>
    </w:p>
    <w:p>
      <w:pPr>
        <w:spacing w:after="0" w:line="169" w:lineRule="exact"/>
        <w:rPr>
          <w:sz w:val="20"/>
          <w:szCs w:val="20"/>
          <w:color w:val="auto"/>
        </w:rPr>
      </w:pPr>
    </w:p>
    <w:p>
      <w:pPr>
        <w:ind w:right="100" w:firstLine="323"/>
        <w:spacing w:after="0" w:line="267" w:lineRule="auto"/>
        <w:rPr>
          <w:sz w:val="20"/>
          <w:szCs w:val="20"/>
          <w:color w:val="auto"/>
        </w:rPr>
      </w:pPr>
      <w:r>
        <w:rPr>
          <w:rFonts w:ascii="Arial" w:cs="Arial" w:eastAsia="Arial" w:hAnsi="Arial"/>
          <w:sz w:val="18"/>
          <w:szCs w:val="18"/>
          <w:color w:val="auto"/>
        </w:rPr>
        <w:t>The Company operates three equity-settled executive and employee share plans. For share -based payment awards, the fair value at the grant date is calculated using appropriate pricing models. The programs and related accounting are described in "</w:t>
      </w:r>
      <w:r>
        <w:rPr>
          <w:rFonts w:ascii="Arial" w:cs="Arial" w:eastAsia="Arial" w:hAnsi="Arial"/>
          <w:sz w:val="18"/>
          <w:szCs w:val="18"/>
          <w:i w:val="1"/>
          <w:iCs w:val="1"/>
          <w:color w:val="auto"/>
        </w:rPr>
        <w:t>Item 8.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Statements—Note 15. Share-Based Payments</w:t>
      </w:r>
      <w:r>
        <w:rPr>
          <w:rFonts w:ascii="Arial" w:cs="Arial" w:eastAsia="Arial" w:hAnsi="Arial"/>
          <w:sz w:val="18"/>
          <w:szCs w:val="18"/>
          <w:color w:val="auto"/>
        </w:rPr>
        <w:t>” of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Three Months Ended March 31,</w:t>
            </w:r>
          </w:p>
        </w:tc>
        <w:tc>
          <w:tcPr>
            <w:tcW w:w="380" w:type="dxa"/>
            <w:vAlign w:val="bottom"/>
            <w:tcBorders>
              <w:bottom w:val="single" w:sz="8" w:color="auto"/>
            </w:tcBorders>
          </w:tcPr>
          <w:p>
            <w:pPr>
              <w:spacing w:after="0"/>
              <w:rPr>
                <w:sz w:val="20"/>
                <w:szCs w:val="20"/>
                <w:color w:val="auto"/>
              </w:rPr>
            </w:pPr>
          </w:p>
        </w:tc>
      </w:tr>
      <w:tr>
        <w:trPr>
          <w:trHeight w:val="222"/>
        </w:trPr>
        <w:tc>
          <w:tcPr>
            <w:tcW w:w="67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5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r>
      <w:tr>
        <w:trPr>
          <w:trHeight w:val="222"/>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related to share-based payments</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w:t>
            </w:r>
          </w:p>
        </w:tc>
        <w:tc>
          <w:tcPr>
            <w:tcW w:w="1520" w:type="dxa"/>
            <w:vAlign w:val="bottom"/>
            <w:shd w:val="clear" w:color="auto" w:fill="CCEEFF"/>
          </w:tcPr>
          <w:p>
            <w:pPr>
              <w:jc w:val="right"/>
              <w:ind w:right="121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46"/>
        </w:trPr>
        <w:tc>
          <w:tcPr>
            <w:tcW w:w="6760" w:type="dxa"/>
            <w:vAlign w:val="bottom"/>
          </w:tcPr>
          <w:p>
            <w:pPr>
              <w:ind w:left="20"/>
              <w:spacing w:after="0"/>
              <w:rPr>
                <w:sz w:val="20"/>
                <w:szCs w:val="20"/>
                <w:color w:val="auto"/>
              </w:rPr>
            </w:pPr>
            <w:r>
              <w:rPr>
                <w:rFonts w:ascii="Arial" w:cs="Arial" w:eastAsia="Arial" w:hAnsi="Arial"/>
                <w:sz w:val="18"/>
                <w:szCs w:val="18"/>
                <w:color w:val="auto"/>
              </w:rPr>
              <w:t>Income tax (expense) benefit for share-based payments</w:t>
            </w:r>
          </w:p>
        </w:tc>
        <w:tc>
          <w:tcPr>
            <w:tcW w:w="132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5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bl>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Indivior Long-Term Incentive Plan (LTIP)</w:t>
      </w:r>
    </w:p>
    <w:p>
      <w:pPr>
        <w:spacing w:after="0" w:line="167" w:lineRule="exact"/>
        <w:rPr>
          <w:sz w:val="20"/>
          <w:szCs w:val="20"/>
          <w:color w:val="auto"/>
        </w:rPr>
      </w:pPr>
    </w:p>
    <w:p>
      <w:pPr>
        <w:ind w:right="480" w:firstLine="323"/>
        <w:spacing w:after="0" w:line="285" w:lineRule="auto"/>
        <w:rPr>
          <w:sz w:val="20"/>
          <w:szCs w:val="20"/>
          <w:color w:val="auto"/>
        </w:rPr>
      </w:pPr>
      <w:r>
        <w:rPr>
          <w:rFonts w:ascii="Arial" w:cs="Arial" w:eastAsia="Arial" w:hAnsi="Arial"/>
          <w:sz w:val="18"/>
          <w:szCs w:val="18"/>
          <w:color w:val="auto"/>
        </w:rPr>
        <w:t>A summary of the service-based restricted share awards and performance-based share awards activity under the LTIP for the three months ended March 31, 2025 is presented below (values in thousands):</w:t>
      </w:r>
    </w:p>
    <w:p>
      <w:pPr>
        <w:spacing w:after="0" w:line="125"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23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9"/>
              </w:rPr>
              <w:t>Outstanding Service-</w:t>
            </w:r>
          </w:p>
        </w:tc>
        <w:tc>
          <w:tcPr>
            <w:tcW w:w="100" w:type="dxa"/>
            <w:vAlign w:val="bottom"/>
          </w:tcPr>
          <w:p>
            <w:pPr>
              <w:spacing w:after="0"/>
              <w:rPr>
                <w:sz w:val="16"/>
                <w:szCs w:val="16"/>
                <w:color w:val="auto"/>
              </w:rPr>
            </w:pPr>
          </w:p>
        </w:tc>
        <w:tc>
          <w:tcPr>
            <w:tcW w:w="23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Outstanding Performance-</w:t>
            </w:r>
          </w:p>
        </w:tc>
        <w:tc>
          <w:tcPr>
            <w:tcW w:w="0" w:type="dxa"/>
            <w:vAlign w:val="bottom"/>
          </w:tcPr>
          <w:p>
            <w:pPr>
              <w:spacing w:after="0"/>
              <w:rPr>
                <w:sz w:val="1"/>
                <w:szCs w:val="1"/>
                <w:color w:val="auto"/>
              </w:rPr>
            </w:pPr>
          </w:p>
        </w:tc>
      </w:tr>
      <w:tr>
        <w:trPr>
          <w:trHeight w:val="81"/>
        </w:trPr>
        <w:tc>
          <w:tcPr>
            <w:tcW w:w="6060" w:type="dxa"/>
            <w:vAlign w:val="bottom"/>
          </w:tcPr>
          <w:p>
            <w:pPr>
              <w:spacing w:after="0"/>
              <w:rPr>
                <w:sz w:val="7"/>
                <w:szCs w:val="7"/>
                <w:color w:val="auto"/>
              </w:rPr>
            </w:pPr>
          </w:p>
        </w:tc>
        <w:tc>
          <w:tcPr>
            <w:tcW w:w="2420" w:type="dxa"/>
            <w:vAlign w:val="bottom"/>
            <w:gridSpan w:val="2"/>
            <w:vMerge w:val="restart"/>
          </w:tcPr>
          <w:p>
            <w:pPr>
              <w:jc w:val="center"/>
              <w:ind w:right="100"/>
              <w:spacing w:after="0" w:line="175" w:lineRule="exact"/>
              <w:rPr>
                <w:sz w:val="20"/>
                <w:szCs w:val="20"/>
                <w:color w:val="auto"/>
              </w:rPr>
            </w:pPr>
            <w:r>
              <w:rPr>
                <w:rFonts w:ascii="Arial" w:cs="Arial" w:eastAsia="Arial" w:hAnsi="Arial"/>
                <w:sz w:val="18"/>
                <w:szCs w:val="18"/>
                <w:b w:val="1"/>
                <w:bCs w:val="1"/>
                <w:color w:val="auto"/>
                <w:w w:val="98"/>
              </w:rPr>
              <w:t>Based Restricted Share</w:t>
            </w: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6060" w:type="dxa"/>
            <w:vAlign w:val="bottom"/>
          </w:tcPr>
          <w:p>
            <w:pPr>
              <w:spacing w:after="0"/>
              <w:rPr>
                <w:sz w:val="8"/>
                <w:szCs w:val="8"/>
                <w:color w:val="auto"/>
              </w:rPr>
            </w:pPr>
          </w:p>
        </w:tc>
        <w:tc>
          <w:tcPr>
            <w:tcW w:w="2420" w:type="dxa"/>
            <w:vAlign w:val="bottom"/>
            <w:gridSpan w:val="2"/>
            <w:vMerge w:val="continue"/>
          </w:tcPr>
          <w:p>
            <w:pPr>
              <w:spacing w:after="0"/>
              <w:rPr>
                <w:sz w:val="8"/>
                <w:szCs w:val="8"/>
                <w:color w:val="auto"/>
              </w:rPr>
            </w:pPr>
          </w:p>
        </w:tc>
        <w:tc>
          <w:tcPr>
            <w:tcW w:w="2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Based Share Awards</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8"/>
              </w:rPr>
              <w:t>Awards</w:t>
            </w: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6060" w:type="dxa"/>
            <w:vAlign w:val="bottom"/>
          </w:tcPr>
          <w:p>
            <w:pPr>
              <w:spacing w:after="0"/>
              <w:rPr>
                <w:sz w:val="7"/>
                <w:szCs w:val="7"/>
                <w:color w:val="auto"/>
              </w:rPr>
            </w:pPr>
          </w:p>
        </w:tc>
        <w:tc>
          <w:tcPr>
            <w:tcW w:w="2420" w:type="dxa"/>
            <w:vAlign w:val="bottom"/>
            <w:gridSpan w:val="2"/>
            <w:vMerge w:val="continue"/>
          </w:tcPr>
          <w:p>
            <w:pPr>
              <w:spacing w:after="0"/>
              <w:rPr>
                <w:sz w:val="7"/>
                <w:szCs w:val="7"/>
                <w:color w:val="auto"/>
              </w:rPr>
            </w:pPr>
          </w:p>
        </w:tc>
        <w:tc>
          <w:tcPr>
            <w:tcW w:w="2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Shares at December 31, 2024</w:t>
            </w: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1,036</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4,717</w:t>
            </w:r>
          </w:p>
        </w:tc>
        <w:tc>
          <w:tcPr>
            <w:tcW w:w="0" w:type="dxa"/>
            <w:vAlign w:val="bottom"/>
          </w:tcPr>
          <w:p>
            <w:pPr>
              <w:spacing w:after="0"/>
              <w:rPr>
                <w:sz w:val="1"/>
                <w:szCs w:val="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Granted</w:t>
            </w:r>
          </w:p>
        </w:tc>
        <w:tc>
          <w:tcPr>
            <w:tcW w:w="2320" w:type="dxa"/>
            <w:vAlign w:val="bottom"/>
          </w:tcPr>
          <w:p>
            <w:pPr>
              <w:jc w:val="center"/>
              <w:spacing w:after="0"/>
              <w:rPr>
                <w:sz w:val="20"/>
                <w:szCs w:val="20"/>
                <w:color w:val="auto"/>
              </w:rPr>
            </w:pPr>
            <w:r>
              <w:rPr>
                <w:rFonts w:ascii="Arial" w:cs="Arial" w:eastAsia="Arial" w:hAnsi="Arial"/>
                <w:sz w:val="18"/>
                <w:szCs w:val="18"/>
                <w:color w:val="auto"/>
                <w:w w:val="97"/>
              </w:rPr>
              <w:t>1,773</w:t>
            </w:r>
          </w:p>
        </w:tc>
        <w:tc>
          <w:tcPr>
            <w:tcW w:w="100" w:type="dxa"/>
            <w:vAlign w:val="bottom"/>
          </w:tcPr>
          <w:p>
            <w:pPr>
              <w:spacing w:after="0"/>
              <w:rPr>
                <w:sz w:val="19"/>
                <w:szCs w:val="19"/>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7"/>
              </w:rPr>
              <w:t>1,582</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Issued</w:t>
            </w: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(193)</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(286)</w:t>
            </w:r>
          </w:p>
        </w:tc>
        <w:tc>
          <w:tcPr>
            <w:tcW w:w="0" w:type="dxa"/>
            <w:vAlign w:val="bottom"/>
          </w:tcPr>
          <w:p>
            <w:pPr>
              <w:spacing w:after="0"/>
              <w:rPr>
                <w:sz w:val="1"/>
                <w:szCs w:val="1"/>
                <w:color w:val="auto"/>
              </w:rPr>
            </w:pPr>
          </w:p>
        </w:tc>
      </w:tr>
      <w:tr>
        <w:trPr>
          <w:trHeight w:val="22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Canceled/forfeited/adjusted</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(176)</w:t>
            </w:r>
          </w:p>
        </w:tc>
        <w:tc>
          <w:tcPr>
            <w:tcW w:w="1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(1,555)</w:t>
            </w:r>
          </w:p>
        </w:tc>
        <w:tc>
          <w:tcPr>
            <w:tcW w:w="0" w:type="dxa"/>
            <w:vAlign w:val="bottom"/>
          </w:tcPr>
          <w:p>
            <w:pPr>
              <w:spacing w:after="0"/>
              <w:rPr>
                <w:sz w:val="1"/>
                <w:szCs w:val="1"/>
                <w:color w:val="auto"/>
              </w:rPr>
            </w:pPr>
          </w:p>
        </w:tc>
      </w:tr>
      <w:tr>
        <w:trPr>
          <w:trHeight w:val="24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Shares at March 31, 2025</w:t>
            </w: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4,459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right="200" w:firstLine="323"/>
        <w:spacing w:after="0" w:line="267" w:lineRule="auto"/>
        <w:rPr>
          <w:sz w:val="20"/>
          <w:szCs w:val="20"/>
          <w:color w:val="auto"/>
        </w:rPr>
      </w:pPr>
      <w:r>
        <w:rPr>
          <w:rFonts w:ascii="Arial" w:cs="Arial" w:eastAsia="Arial" w:hAnsi="Arial"/>
          <w:sz w:val="18"/>
          <w:szCs w:val="18"/>
          <w:color w:val="auto"/>
        </w:rPr>
        <w:t>The weighted average fair value per share of the service-based restricted share awards granted was $9.70 for the three months ended March 31, 2025, based on the fair market value at the date of grant. The total fair value of restricted share awards issued was $3 million for the three months ended March 31, 2025.</w:t>
      </w:r>
    </w:p>
    <w:p>
      <w:pPr>
        <w:spacing w:after="0" w:line="115" w:lineRule="exact"/>
        <w:rPr>
          <w:sz w:val="20"/>
          <w:szCs w:val="20"/>
          <w:color w:val="auto"/>
        </w:rPr>
      </w:pPr>
    </w:p>
    <w:p>
      <w:pPr>
        <w:jc w:val="both"/>
        <w:ind w:right="300" w:firstLine="323"/>
        <w:spacing w:after="0" w:line="267" w:lineRule="auto"/>
        <w:rPr>
          <w:sz w:val="20"/>
          <w:szCs w:val="20"/>
          <w:color w:val="auto"/>
        </w:rPr>
      </w:pPr>
      <w:r>
        <w:rPr>
          <w:rFonts w:ascii="Arial" w:cs="Arial" w:eastAsia="Arial" w:hAnsi="Arial"/>
          <w:sz w:val="18"/>
          <w:szCs w:val="18"/>
          <w:color w:val="auto"/>
        </w:rPr>
        <w:t>The weighted average fair value per share of the performance-based share awards granted per share was $8.67 for the three months ended March 31, 2025, calculated using the weighted average fair market value for each of the component goals at the date of grant. The total fair value of performance-based share awards issued was nil for the three months ended March 31, 2025.</w:t>
      </w:r>
    </w:p>
    <w:p>
      <w:pPr>
        <w:spacing w:after="0" w:line="115" w:lineRule="exact"/>
        <w:rPr>
          <w:sz w:val="20"/>
          <w:szCs w:val="20"/>
          <w:color w:val="auto"/>
        </w:rPr>
      </w:pPr>
    </w:p>
    <w:p>
      <w:pPr>
        <w:ind w:right="200" w:firstLine="323"/>
        <w:spacing w:after="0" w:line="261" w:lineRule="auto"/>
        <w:rPr>
          <w:sz w:val="20"/>
          <w:szCs w:val="20"/>
          <w:color w:val="auto"/>
        </w:rPr>
      </w:pPr>
      <w:r>
        <w:rPr>
          <w:rFonts w:ascii="Arial" w:cs="Arial" w:eastAsia="Arial" w:hAnsi="Arial"/>
          <w:sz w:val="18"/>
          <w:szCs w:val="18"/>
          <w:color w:val="auto"/>
        </w:rPr>
        <w:t>Total compensation cost for unvested awards not yet recognized at March 31, 2025 was approximately $21 million and $25 million for service-based restricted share awards and performance-based restricted awards, respectively. We recognize compensation cost over the expected remaining weighted-average period of 2.6 years and 2.0 years for service-based restricted share awards and performance-based share awards, respectively.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Options</w:t>
      </w:r>
    </w:p>
    <w:p>
      <w:pPr>
        <w:spacing w:after="0" w:line="167" w:lineRule="exact"/>
        <w:rPr>
          <w:sz w:val="20"/>
          <w:szCs w:val="20"/>
          <w:color w:val="auto"/>
        </w:rPr>
      </w:pPr>
    </w:p>
    <w:p>
      <w:pPr>
        <w:ind w:right="460" w:firstLine="323"/>
        <w:spacing w:after="0" w:line="285" w:lineRule="auto"/>
        <w:rPr>
          <w:sz w:val="20"/>
          <w:szCs w:val="20"/>
          <w:color w:val="auto"/>
        </w:rPr>
      </w:pPr>
      <w:r>
        <w:rPr>
          <w:rFonts w:ascii="Arial" w:cs="Arial" w:eastAsia="Arial" w:hAnsi="Arial"/>
          <w:sz w:val="18"/>
          <w:szCs w:val="18"/>
          <w:color w:val="auto"/>
        </w:rPr>
        <w:t>The Company did not grant any share options in the three months ended March 31, 2025. No share options were exercised in three months ended March 31, 2025.</w:t>
      </w:r>
    </w:p>
    <w:p>
      <w:pPr>
        <w:spacing w:after="0" w:line="200" w:lineRule="exact"/>
        <w:rPr>
          <w:sz w:val="20"/>
          <w:szCs w:val="20"/>
          <w:color w:val="auto"/>
        </w:rPr>
      </w:pPr>
    </w:p>
    <w:p>
      <w:pPr>
        <w:spacing w:after="0" w:line="303" w:lineRule="exact"/>
        <w:rPr>
          <w:sz w:val="20"/>
          <w:szCs w:val="20"/>
          <w:color w:val="auto"/>
        </w:rPr>
      </w:pPr>
    </w:p>
    <w:p>
      <w:pPr>
        <w:ind w:left="340" w:right="7860" w:hanging="333"/>
        <w:spacing w:after="0" w:line="461" w:lineRule="auto"/>
        <w:tabs>
          <w:tab w:leader="none" w:pos="31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Legal Proceedings and Contingencies</w:t>
      </w:r>
    </w:p>
    <w:p>
      <w:pPr>
        <w:spacing w:after="0" w:line="2" w:lineRule="exact"/>
        <w:rPr>
          <w:sz w:val="20"/>
          <w:szCs w:val="20"/>
          <w:color w:val="auto"/>
        </w:rPr>
      </w:pPr>
    </w:p>
    <w:p>
      <w:pPr>
        <w:jc w:val="both"/>
        <w:ind w:firstLine="323"/>
        <w:spacing w:after="0" w:line="267" w:lineRule="auto"/>
        <w:rPr>
          <w:sz w:val="20"/>
          <w:szCs w:val="20"/>
          <w:color w:val="auto"/>
        </w:rPr>
      </w:pPr>
      <w:r>
        <w:rPr>
          <w:rFonts w:ascii="Arial" w:cs="Arial" w:eastAsia="Arial" w:hAnsi="Arial"/>
          <w:sz w:val="18"/>
          <w:szCs w:val="18"/>
          <w:color w:val="auto"/>
        </w:rPr>
        <w:t>The Company records accruals for loss contingencies associated with legal matters when it is probable that a liability will be incurred, and the amount of the loss can be reasonably estimated. Certain ongoing legal proceedings or threats of legal proceedings to which the Company is a party, but in which the Company believes the possibility of an adverse impact is remote, are not discussed in this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Civil Opioid Litigation</w:t>
      </w:r>
    </w:p>
    <w:p>
      <w:pPr>
        <w:spacing w:after="0" w:line="169" w:lineRule="exact"/>
        <w:rPr>
          <w:sz w:val="20"/>
          <w:szCs w:val="20"/>
          <w:color w:val="auto"/>
        </w:rPr>
      </w:pPr>
    </w:p>
    <w:p>
      <w:pPr>
        <w:ind w:right="40" w:firstLine="323"/>
        <w:spacing w:after="0" w:line="253" w:lineRule="auto"/>
        <w:rPr>
          <w:sz w:val="20"/>
          <w:szCs w:val="20"/>
          <w:color w:val="auto"/>
        </w:rPr>
      </w:pPr>
      <w:r>
        <w:rPr>
          <w:rFonts w:ascii="Arial" w:cs="Arial" w:eastAsia="Arial" w:hAnsi="Arial"/>
          <w:sz w:val="18"/>
          <w:szCs w:val="18"/>
          <w:color w:val="auto"/>
        </w:rPr>
        <w:t xml:space="preserve">The Company has been named as a defendant in more than 400 civil lawsuits alleging that manufacturers, distributors, and retailers of opioids engaged in a longstanding practice to market opioids as safe and effective for the treatment of long-term chronic pain to increase the market for opioids and their own market shares for opioids, or alleging individual personal injury claims. Most of these cases have been consolidated and are pending in a federal multi-district litigation in the U.S. District Court for the Northern District of Ohio. </w:t>
      </w:r>
      <w:r>
        <w:rPr>
          <w:rFonts w:ascii="Arial" w:cs="Arial" w:eastAsia="Arial" w:hAnsi="Arial"/>
          <w:sz w:val="18"/>
          <w:szCs w:val="18"/>
          <w:i w:val="1"/>
          <w:iCs w:val="1"/>
          <w:color w:val="auto"/>
        </w:rPr>
        <w:t>See In re 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Prescription Opiate Litigation</w:t>
      </w:r>
      <w:r>
        <w:rPr>
          <w:rFonts w:ascii="Arial" w:cs="Arial" w:eastAsia="Arial" w:hAnsi="Arial"/>
          <w:sz w:val="18"/>
          <w:szCs w:val="18"/>
          <w:color w:val="auto"/>
        </w:rPr>
        <w:t>, MDL No. 2804 (N.D. Ohio) (the "Opioid MDL"). Nearly two-thirds of the cases in the Opioid MDL were filed by</w:t>
      </w:r>
      <w:r>
        <w:rPr>
          <w:rFonts w:ascii="Arial" w:cs="Arial" w:eastAsia="Arial" w:hAnsi="Arial"/>
          <w:sz w:val="18"/>
          <w:szCs w:val="18"/>
          <w:i w:val="1"/>
          <w:iCs w:val="1"/>
          <w:color w:val="auto"/>
        </w:rPr>
        <w:t xml:space="preserve"> </w:t>
      </w:r>
      <w:r>
        <w:rPr>
          <w:rFonts w:ascii="Arial" w:cs="Arial" w:eastAsia="Arial" w:hAnsi="Arial"/>
          <w:sz w:val="18"/>
          <w:szCs w:val="18"/>
          <w:color w:val="auto"/>
        </w:rPr>
        <w:t>cities and counties, while nearly one-third of the cases were filed by private plaintiffs, most of whom assert claims relating to neonatal abstinence syndrome ("NAS"). Cases brought by cities and counties outside of the MDL include, for example, 35 actions pending in New York state court, 8 writs filed in Pennsylvania state court, and actions brought in federal district courts in Florida and Georgia. Litigation against the Company in the Opioid MDL and the other federal courts is stayed. The New York state court has not yet entered a case management order. The Company has not yet been served with a complaint in any of the Pennsylvania state court matters.</w:t>
      </w:r>
    </w:p>
    <w:p>
      <w:pPr>
        <w:spacing w:after="0" w:line="129" w:lineRule="exact"/>
        <w:rPr>
          <w:sz w:val="20"/>
          <w:szCs w:val="20"/>
          <w:color w:val="auto"/>
        </w:rPr>
      </w:pPr>
    </w:p>
    <w:p>
      <w:pPr>
        <w:ind w:right="60" w:firstLine="323"/>
        <w:spacing w:after="0" w:line="255" w:lineRule="auto"/>
        <w:rPr>
          <w:sz w:val="20"/>
          <w:szCs w:val="20"/>
          <w:color w:val="auto"/>
        </w:rPr>
      </w:pPr>
      <w:r>
        <w:rPr>
          <w:rFonts w:ascii="Arial" w:cs="Arial" w:eastAsia="Arial" w:hAnsi="Arial"/>
          <w:sz w:val="18"/>
          <w:szCs w:val="18"/>
          <w:color w:val="auto"/>
        </w:rPr>
        <w:t xml:space="preserve">Pursuant to mediation, the Company, the Plaintiffs' Executive Committee (PEC) in the Opioid MDL, Tribal Leadership Committee (TLC), and an executive committee of state attorneys general reached agreement on the amount of a potential settlement. The Company has recorded a related provision of $78 million, reflecting the NPV of the agreed amount (See </w:t>
      </w:r>
      <w:r>
        <w:rPr>
          <w:rFonts w:ascii="Arial" w:cs="Arial" w:eastAsia="Arial" w:hAnsi="Arial"/>
          <w:sz w:val="18"/>
          <w:szCs w:val="18"/>
          <w:i w:val="1"/>
          <w:iCs w:val="1"/>
          <w:color w:val="auto"/>
        </w:rPr>
        <w:t>Note 7. Accrued Litigation Settlement Expenses</w:t>
      </w:r>
      <w:r>
        <w:rPr>
          <w:rFonts w:ascii="Arial" w:cs="Arial" w:eastAsia="Arial" w:hAnsi="Arial"/>
          <w:sz w:val="18"/>
          <w:szCs w:val="18"/>
          <w:color w:val="auto"/>
        </w:rPr>
        <w:t>). The Company, PEC, and executive committee of state attorneys general have reached agreement on material settlement terms, with details concerning the timing and structure of payments and product distribution to be agreed upon. The Company and the TLC are in the process of negotiating remaining material settlement terms. These settlements would not resolve private plaintiff cases against the Company (whether in the MDL or proceeding separately).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respect to cases outside the MDL that were not filed by cities or counties:</w:t>
      </w:r>
    </w:p>
    <w:p>
      <w:pPr>
        <w:spacing w:after="0" w:line="169" w:lineRule="exact"/>
        <w:rPr>
          <w:sz w:val="20"/>
          <w:szCs w:val="20"/>
          <w:color w:val="auto"/>
        </w:rPr>
      </w:pPr>
    </w:p>
    <w:p>
      <w:pPr>
        <w:ind w:right="160" w:firstLine="323"/>
        <w:spacing w:after="0" w:line="285" w:lineRule="auto"/>
        <w:rPr>
          <w:sz w:val="20"/>
          <w:szCs w:val="20"/>
          <w:color w:val="auto"/>
        </w:rPr>
      </w:pPr>
      <w:r>
        <w:rPr>
          <w:rFonts w:ascii="Arial" w:cs="Arial" w:eastAsia="Arial" w:hAnsi="Arial"/>
          <w:sz w:val="18"/>
          <w:szCs w:val="18"/>
          <w:color w:val="auto"/>
        </w:rPr>
        <w:t xml:space="preserve">Indivior Inc. was named as a defendant in </w:t>
      </w:r>
      <w:r>
        <w:rPr>
          <w:rFonts w:ascii="Arial" w:cs="Arial" w:eastAsia="Arial" w:hAnsi="Arial"/>
          <w:sz w:val="18"/>
          <w:szCs w:val="18"/>
          <w:i w:val="1"/>
          <w:iCs w:val="1"/>
          <w:color w:val="auto"/>
        </w:rPr>
        <w:t>San Miguel Hospital Corp. d/b/a Alta Vista Regional Medical Center v. Johnson &amp; Johnson,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No. 1:23-cv-00903 (D.N.M.) on March 18, 2024. On March 4, 2025, the court dismissed the complaint.</w:t>
      </w:r>
    </w:p>
    <w:p>
      <w:pPr>
        <w:spacing w:after="0" w:line="100" w:lineRule="exact"/>
        <w:rPr>
          <w:sz w:val="20"/>
          <w:szCs w:val="20"/>
          <w:color w:val="auto"/>
        </w:rPr>
      </w:pPr>
    </w:p>
    <w:p>
      <w:pPr>
        <w:ind w:firstLine="323"/>
        <w:spacing w:after="0" w:line="258" w:lineRule="auto"/>
        <w:rPr>
          <w:sz w:val="20"/>
          <w:szCs w:val="20"/>
          <w:color w:val="auto"/>
        </w:rPr>
      </w:pPr>
      <w:r>
        <w:rPr>
          <w:rFonts w:ascii="Arial" w:cs="Arial" w:eastAsia="Arial" w:hAnsi="Arial"/>
          <w:sz w:val="18"/>
          <w:szCs w:val="18"/>
          <w:color w:val="auto"/>
        </w:rPr>
        <w:t xml:space="preserve">On October 28, 2024, Indivior Inc. was named as one of numerous defendants in five individual complaints involving claims related to NAS and filed in West Virginia state court, that were transferred to West Virginia's Mass Litigation Panel. </w:t>
      </w:r>
      <w:r>
        <w:rPr>
          <w:rFonts w:ascii="Arial" w:cs="Arial" w:eastAsia="Arial" w:hAnsi="Arial"/>
          <w:sz w:val="18"/>
          <w:szCs w:val="18"/>
          <w:i w:val="1"/>
          <w:iCs w:val="1"/>
          <w:color w:val="auto"/>
        </w:rPr>
        <w:t>See In re Opioid Litigation</w:t>
      </w:r>
      <w:r>
        <w:rPr>
          <w:rFonts w:ascii="Arial" w:cs="Arial" w:eastAsia="Arial" w:hAnsi="Arial"/>
          <w:sz w:val="18"/>
          <w:szCs w:val="18"/>
          <w:color w:val="auto"/>
        </w:rPr>
        <w:t>, No. 22-C-9000 NAS (W.V. Kanawha Cnty. Cir. Ct.) ("WV MLP Action"). The plaintiffs filed a notice of appeal in the West Virginia Supreme Court as to all defendants, including Indivior, on February 27, 2025. The West Virginia Supreme Court has set a briefing schedule under which briefing on the appeal will close on August 4, 2025.</w:t>
      </w:r>
    </w:p>
    <w:p>
      <w:pPr>
        <w:spacing w:after="0" w:line="124" w:lineRule="exact"/>
        <w:rPr>
          <w:sz w:val="20"/>
          <w:szCs w:val="20"/>
          <w:color w:val="auto"/>
        </w:rPr>
      </w:pPr>
    </w:p>
    <w:p>
      <w:pPr>
        <w:ind w:right="120" w:firstLine="323"/>
        <w:spacing w:after="0" w:line="267" w:lineRule="auto"/>
        <w:rPr>
          <w:sz w:val="20"/>
          <w:szCs w:val="20"/>
          <w:color w:val="auto"/>
        </w:rPr>
      </w:pPr>
      <w:r>
        <w:rPr>
          <w:rFonts w:ascii="Arial" w:cs="Arial" w:eastAsia="Arial" w:hAnsi="Arial"/>
          <w:sz w:val="18"/>
          <w:szCs w:val="18"/>
          <w:color w:val="auto"/>
        </w:rPr>
        <w:t>Additionally, on May 23, 2024, the Consumer Protection Division of the Office of the Attorney General of Maryland served on Indivior Inc. an administrative subpoena related generally to opioid products marketed and sold in Maryland. Indivior Inc.'s response to the subpoena remains ongoing.</w:t>
      </w:r>
    </w:p>
    <w:p>
      <w:pPr>
        <w:spacing w:after="0" w:line="115" w:lineRule="exact"/>
        <w:rPr>
          <w:sz w:val="20"/>
          <w:szCs w:val="20"/>
          <w:color w:val="auto"/>
        </w:rPr>
      </w:pPr>
    </w:p>
    <w:p>
      <w:pPr>
        <w:jc w:val="both"/>
        <w:ind w:right="80" w:firstLine="323"/>
        <w:spacing w:after="0" w:line="267" w:lineRule="auto"/>
        <w:rPr>
          <w:sz w:val="20"/>
          <w:szCs w:val="20"/>
          <w:color w:val="auto"/>
        </w:rPr>
      </w:pPr>
      <w:r>
        <w:rPr>
          <w:rFonts w:ascii="Arial" w:cs="Arial" w:eastAsia="Arial" w:hAnsi="Arial"/>
          <w:sz w:val="18"/>
          <w:szCs w:val="18"/>
          <w:color w:val="auto"/>
        </w:rPr>
        <w:t>The Company has begun its evaluation of all of the claims, believes it has meritorious defenses, and intends to vigorously defend itself in all actions that would not be resolved by the proposed settlement. Given the status and preliminary stage of litigation, no estimate of possible loss for those matters can be made at this time.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Dental Allegations</w:t>
      </w:r>
    </w:p>
    <w:p>
      <w:pPr>
        <w:spacing w:after="0" w:line="169" w:lineRule="exact"/>
        <w:rPr>
          <w:sz w:val="20"/>
          <w:szCs w:val="20"/>
          <w:color w:val="auto"/>
        </w:rPr>
      </w:pPr>
    </w:p>
    <w:p>
      <w:pPr>
        <w:ind w:right="140" w:firstLine="323"/>
        <w:spacing w:after="0" w:line="261" w:lineRule="auto"/>
        <w:rPr>
          <w:sz w:val="20"/>
          <w:szCs w:val="20"/>
          <w:color w:val="auto"/>
        </w:rPr>
      </w:pPr>
      <w:r>
        <w:rPr>
          <w:rFonts w:ascii="Arial" w:cs="Arial" w:eastAsia="Arial" w:hAnsi="Arial"/>
          <w:sz w:val="18"/>
          <w:szCs w:val="18"/>
          <w:color w:val="auto"/>
        </w:rPr>
        <w:t>The Company has been named as a defendant in numerous lawsuits alleging that SUBOXONE Film was defectively designed and caused dental injury, and that the Company failed to properly warn of the risks of such injuries. The plaintiffs generally seek compensatory damages, as well as punitive damages and attorneys’ fees and costs. Plaintiffs and potential plaintiffs related to these lawsuits generally can be grouped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Dental MDL Plaintiffs: 1,611 cases naming 3,572 plaintiffs have been consolidated in multi-district litigation in the Northern District of Ohio.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In Re Suboxone (Buprenorphine/Naloxone) Film Products Liability Litigation</w:t>
      </w:r>
      <w:r>
        <w:rPr>
          <w:rFonts w:ascii="Arial" w:cs="Arial" w:eastAsia="Arial" w:hAnsi="Arial"/>
          <w:sz w:val="18"/>
          <w:szCs w:val="18"/>
          <w:color w:val="auto"/>
        </w:rPr>
        <w:t>, MDL No. 3092 (N.D. Oh.) (the "Dental MDL").</w:t>
      </w:r>
    </w:p>
    <w:p>
      <w:pPr>
        <w:spacing w:after="0" w:line="151" w:lineRule="exact"/>
        <w:rPr>
          <w:sz w:val="20"/>
          <w:szCs w:val="20"/>
          <w:color w:val="auto"/>
        </w:rPr>
      </w:pPr>
    </w:p>
    <w:p>
      <w:pPr>
        <w:ind w:right="180" w:firstLine="323"/>
        <w:spacing w:after="0" w:line="285" w:lineRule="auto"/>
        <w:rPr>
          <w:sz w:val="20"/>
          <w:szCs w:val="20"/>
          <w:color w:val="auto"/>
        </w:rPr>
      </w:pPr>
      <w:r>
        <w:rPr>
          <w:rFonts w:ascii="Arial" w:cs="Arial" w:eastAsia="Arial" w:hAnsi="Arial"/>
          <w:sz w:val="18"/>
          <w:szCs w:val="18"/>
          <w:color w:val="auto"/>
        </w:rPr>
        <w:t>Dental MDL Schedule A Plaintiffs: On April 14, 2025, the plaintiffs filed an amended Schedule A that reduced the number of Schedule A claimants to 8,575.</w:t>
      </w:r>
    </w:p>
    <w:p>
      <w:pPr>
        <w:spacing w:after="0" w:line="100" w:lineRule="exact"/>
        <w:rPr>
          <w:sz w:val="20"/>
          <w:szCs w:val="20"/>
          <w:color w:val="auto"/>
        </w:rPr>
      </w:pPr>
    </w:p>
    <w:p>
      <w:pPr>
        <w:ind w:right="80" w:firstLine="323"/>
        <w:spacing w:after="0" w:line="285" w:lineRule="auto"/>
        <w:rPr>
          <w:sz w:val="20"/>
          <w:szCs w:val="20"/>
          <w:color w:val="auto"/>
        </w:rPr>
      </w:pPr>
      <w:r>
        <w:rPr>
          <w:rFonts w:ascii="Arial" w:cs="Arial" w:eastAsia="Arial" w:hAnsi="Arial"/>
          <w:sz w:val="18"/>
          <w:szCs w:val="18"/>
          <w:color w:val="auto"/>
        </w:rPr>
        <w:t>State Court Plaintiffs: One complaint has been filed in New Jersey state court, and the parties have agreed to toll the claims of more than 850 other individuals in Delaware, New Jersey, and Virginia. Complaints have not yet been filed on behalf of the tolled individuals.</w:t>
      </w:r>
    </w:p>
    <w:p>
      <w:pPr>
        <w:spacing w:after="0" w:line="100" w:lineRule="exact"/>
        <w:rPr>
          <w:sz w:val="20"/>
          <w:szCs w:val="20"/>
          <w:color w:val="auto"/>
        </w:rPr>
      </w:pPr>
    </w:p>
    <w:p>
      <w:pPr>
        <w:ind w:right="140" w:firstLine="323"/>
        <w:spacing w:after="0" w:line="285" w:lineRule="auto"/>
        <w:rPr>
          <w:sz w:val="20"/>
          <w:szCs w:val="20"/>
          <w:color w:val="auto"/>
        </w:rPr>
      </w:pPr>
      <w:r>
        <w:rPr>
          <w:rFonts w:ascii="Arial" w:cs="Arial" w:eastAsia="Arial" w:hAnsi="Arial"/>
          <w:sz w:val="18"/>
          <w:szCs w:val="18"/>
          <w:color w:val="auto"/>
        </w:rPr>
        <w:t>The Company has begun its evaluation of the claims, believes it has meritorious defenses, and intends to vigorously defend itself. Given the status and preliminary stage of litigation, no estimate of possible loss can be made at this time.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U.K. Shareholder Claims</w:t>
      </w:r>
    </w:p>
    <w:p>
      <w:pPr>
        <w:spacing w:after="0" w:line="169" w:lineRule="exact"/>
        <w:rPr>
          <w:sz w:val="20"/>
          <w:szCs w:val="20"/>
          <w:color w:val="auto"/>
        </w:rPr>
      </w:pPr>
    </w:p>
    <w:p>
      <w:pPr>
        <w:ind w:right="40" w:firstLine="323"/>
        <w:spacing w:after="0" w:line="254" w:lineRule="auto"/>
        <w:rPr>
          <w:sz w:val="20"/>
          <w:szCs w:val="20"/>
          <w:color w:val="auto"/>
        </w:rPr>
      </w:pPr>
      <w:r>
        <w:rPr>
          <w:rFonts w:ascii="Arial" w:cs="Arial" w:eastAsia="Arial" w:hAnsi="Arial"/>
          <w:sz w:val="18"/>
          <w:szCs w:val="18"/>
          <w:color w:val="auto"/>
        </w:rPr>
        <w:t>On September 21, 2022, certain shareholders issued representative and multiparty claims against Indivior PLC in the High Court of Justice for the Business and Property Courts of England and Wales, King’s Bench Division. The claims made in both the representative and multiparty actions generally allege that Indivior PLC violated the U.K. Financial Services and Markets Act 2000 (“FSMA 2000”) by making false or misleading statements or material omissions in public disclosures, including the 2014 Demerger Prospectus, regarding an alleged product-hopping scheme regarding the switch from SUBOXONE Tablets to SUBOXONE Film. On January 23, 2025, the appellate court affirmed the dismissal, and on February 19, 2025 the claimants applied for permission to appeal to the Supreme Court on February 19, 2025. The Company opposed, and the court refused the application on February 27, 2025. The claimants have applied directly to the U.K. Supreme Court to further appeal.</w:t>
      </w:r>
    </w:p>
    <w:p>
      <w:pPr>
        <w:spacing w:after="0" w:line="129" w:lineRule="exact"/>
        <w:rPr>
          <w:sz w:val="20"/>
          <w:szCs w:val="20"/>
          <w:color w:val="auto"/>
        </w:rPr>
      </w:pPr>
    </w:p>
    <w:p>
      <w:pPr>
        <w:ind w:right="280" w:firstLine="323"/>
        <w:spacing w:after="0" w:line="285" w:lineRule="auto"/>
        <w:rPr>
          <w:sz w:val="20"/>
          <w:szCs w:val="20"/>
          <w:color w:val="auto"/>
        </w:rPr>
      </w:pPr>
      <w:r>
        <w:rPr>
          <w:rFonts w:ascii="Arial" w:cs="Arial" w:eastAsia="Arial" w:hAnsi="Arial"/>
          <w:sz w:val="18"/>
          <w:szCs w:val="18"/>
          <w:color w:val="auto"/>
        </w:rPr>
        <w:t>The Company has begun its evaluation of the remaining claims, believes it has meritorious defenses, and intends to vigorously defend itself. Given the status and preliminary stage of the litigation, no estimate of possible loss can be made at this time.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U.S. Shareholder Claims</w:t>
      </w:r>
    </w:p>
    <w:p>
      <w:pPr>
        <w:spacing w:after="0" w:line="169" w:lineRule="exact"/>
        <w:rPr>
          <w:sz w:val="20"/>
          <w:szCs w:val="20"/>
          <w:color w:val="auto"/>
        </w:rPr>
      </w:pPr>
    </w:p>
    <w:p>
      <w:pPr>
        <w:ind w:right="80" w:firstLine="323"/>
        <w:spacing w:after="0" w:line="258" w:lineRule="auto"/>
        <w:rPr>
          <w:sz w:val="20"/>
          <w:szCs w:val="20"/>
          <w:color w:val="auto"/>
        </w:rPr>
      </w:pPr>
      <w:r>
        <w:rPr>
          <w:rFonts w:ascii="Arial" w:cs="Arial" w:eastAsia="Arial" w:hAnsi="Arial"/>
          <w:sz w:val="18"/>
          <w:szCs w:val="18"/>
          <w:color w:val="auto"/>
        </w:rPr>
        <w:t>A class action lawsuit was filed against Indivior PLC, Mark Crossley (the CEO of the Company), and Ryan Preblick (the CFO of the Company) on August 2, 2024, alleging violations of certain U.S. federal securities laws, and the lead plaintiff filed an amended complaint on December 5, 2024 which also named Richard Simkin (the CCO of the Company) as a defendant. The defendants moved to dismiss. On April 22, 2025, the court heard oral argument and granted the motion to dismiss. The court indicated that a formal opinion will follow, and the plaintiffs will have 30 days from the date of the opinion to amend their complaint.</w:t>
      </w:r>
    </w:p>
    <w:p>
      <w:pPr>
        <w:spacing w:after="0" w:line="124" w:lineRule="exact"/>
        <w:rPr>
          <w:sz w:val="20"/>
          <w:szCs w:val="20"/>
          <w:color w:val="auto"/>
        </w:rPr>
      </w:pPr>
    </w:p>
    <w:p>
      <w:pPr>
        <w:ind w:right="140" w:firstLine="323"/>
        <w:spacing w:after="0" w:line="285" w:lineRule="auto"/>
        <w:rPr>
          <w:sz w:val="20"/>
          <w:szCs w:val="20"/>
          <w:color w:val="auto"/>
        </w:rPr>
      </w:pPr>
      <w:r>
        <w:rPr>
          <w:rFonts w:ascii="Arial" w:cs="Arial" w:eastAsia="Arial" w:hAnsi="Arial"/>
          <w:sz w:val="18"/>
          <w:szCs w:val="18"/>
          <w:color w:val="auto"/>
        </w:rPr>
        <w:t>The Company has begun its evaluation of the claims, believes it has meritorious defenses, and intends to vigorously defend itself. Given the status and preliminary stage of the litigation, no estimate of possible loss can be made at this time.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Opiant Shareholder Claims</w:t>
      </w:r>
    </w:p>
    <w:p>
      <w:pPr>
        <w:spacing w:after="0" w:line="169" w:lineRule="exact"/>
        <w:rPr>
          <w:sz w:val="20"/>
          <w:szCs w:val="20"/>
          <w:color w:val="auto"/>
        </w:rPr>
      </w:pPr>
    </w:p>
    <w:p>
      <w:pPr>
        <w:ind w:right="80" w:firstLine="323"/>
        <w:spacing w:after="0" w:line="261" w:lineRule="auto"/>
        <w:rPr>
          <w:sz w:val="20"/>
          <w:szCs w:val="20"/>
          <w:color w:val="auto"/>
        </w:rPr>
      </w:pPr>
      <w:r>
        <w:rPr>
          <w:rFonts w:ascii="Arial" w:cs="Arial" w:eastAsia="Arial" w:hAnsi="Arial"/>
          <w:sz w:val="18"/>
          <w:szCs w:val="18"/>
          <w:color w:val="auto"/>
        </w:rPr>
        <w:t>On November 8, 2023, plaintiff James Litten filed a class action complaint in the Delaware Court of Chancery alleging that former officers and directors of Opiant Pharmaceuticals, Inc. ("Opiant") breached fiduciary duties of care, loyalty, and good faith in connection with Indivior PLC's 2022 acquisition of Opiant. The court heard argument on the motion to dismiss on January 17, 2025 and heard additional argument on February 19, 2025.</w:t>
      </w:r>
    </w:p>
    <w:p>
      <w:pPr>
        <w:spacing w:after="0" w:line="121" w:lineRule="exact"/>
        <w:rPr>
          <w:sz w:val="20"/>
          <w:szCs w:val="20"/>
          <w:color w:val="auto"/>
        </w:rPr>
      </w:pPr>
    </w:p>
    <w:p>
      <w:pPr>
        <w:ind w:right="140" w:firstLine="323"/>
        <w:spacing w:after="0" w:line="285" w:lineRule="auto"/>
        <w:rPr>
          <w:sz w:val="20"/>
          <w:szCs w:val="20"/>
          <w:color w:val="auto"/>
        </w:rPr>
      </w:pPr>
      <w:r>
        <w:rPr>
          <w:rFonts w:ascii="Arial" w:cs="Arial" w:eastAsia="Arial" w:hAnsi="Arial"/>
          <w:sz w:val="18"/>
          <w:szCs w:val="18"/>
          <w:color w:val="auto"/>
        </w:rPr>
        <w:t>The Company has begun its evaluation of the claims, believes it has meritorious defenses, and intends to vigorously defend itself. Given the status and preliminary stage of the litigation, no estimate of possible loss can be made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Revision of Previously Issued Financial Statements</w:t>
      </w:r>
    </w:p>
    <w:p>
      <w:pPr>
        <w:spacing w:after="0" w:line="169" w:lineRule="exact"/>
        <w:rPr>
          <w:sz w:val="20"/>
          <w:szCs w:val="20"/>
          <w:color w:val="auto"/>
        </w:rPr>
      </w:pPr>
    </w:p>
    <w:p>
      <w:pPr>
        <w:ind w:right="100" w:firstLine="323"/>
        <w:spacing w:after="0" w:line="267" w:lineRule="auto"/>
        <w:rPr>
          <w:sz w:val="20"/>
          <w:szCs w:val="20"/>
          <w:color w:val="auto"/>
        </w:rPr>
      </w:pPr>
      <w:r>
        <w:rPr>
          <w:rFonts w:ascii="Arial" w:cs="Arial" w:eastAsia="Arial" w:hAnsi="Arial"/>
          <w:sz w:val="18"/>
          <w:szCs w:val="18"/>
          <w:color w:val="auto"/>
        </w:rPr>
        <w:t>During the first quarter of 2025, the Company identified an error in the methodology used to accrue for Indivior's share of the annual U.S. fee imposed on drug manufacturers (the "Branded Fee"). This resulted in an overstatement of the Branded Fee accrual for the periods presented in the Company's Annual Report on Form 10-K for the year ended December 31, 2024.</w:t>
      </w:r>
    </w:p>
    <w:p>
      <w:pPr>
        <w:spacing w:after="0" w:line="115" w:lineRule="exact"/>
        <w:rPr>
          <w:sz w:val="20"/>
          <w:szCs w:val="20"/>
          <w:color w:val="auto"/>
        </w:rPr>
      </w:pPr>
    </w:p>
    <w:p>
      <w:pPr>
        <w:ind w:firstLine="323"/>
        <w:spacing w:after="0" w:line="253" w:lineRule="auto"/>
        <w:rPr>
          <w:sz w:val="20"/>
          <w:szCs w:val="20"/>
          <w:color w:val="auto"/>
        </w:rPr>
      </w:pPr>
      <w:r>
        <w:rPr>
          <w:rFonts w:ascii="Arial" w:cs="Arial" w:eastAsia="Arial" w:hAnsi="Arial"/>
          <w:sz w:val="18"/>
          <w:szCs w:val="18"/>
          <w:color w:val="auto"/>
        </w:rPr>
        <w:t>The overstatement of the Branded Fee accrual did not materially impact the Company's previously issued financial statements for any of the prior quarters or the annual periods in which they occurred. However, in accordance with Staff Accounting Bulletin No. 108 of the Securities and Exchange Commission, the Company concluded that correcting the cumulative misstatement in the current period would be material to its results of operations for the quarter ended March 31, 2025. Accordingly, the Company has revised, or will revise in future filings as applicable, its previously issued Consolidated Financial Statements as of December 31, 2024 and 2023 and for the years ended December 31, 2024, 2023 and 2022 to correct this accrual overstatement. Additionally, the Company has revised, or will revise in future filings as applicable, its quarterly financial data for the three months ended March 31, June 30, September 30, and December 31, 2024</w:t>
      </w:r>
      <w:r>
        <w:rPr>
          <w:rFonts w:ascii="Arial" w:cs="Arial" w:eastAsia="Arial" w:hAnsi="Arial"/>
          <w:sz w:val="18"/>
          <w:szCs w:val="18"/>
          <w:i w:val="1"/>
          <w:iCs w:val="1"/>
          <w:color w:val="auto"/>
        </w:rPr>
        <w:t>.</w:t>
      </w:r>
      <w:r>
        <w:rPr>
          <w:rFonts w:ascii="Arial" w:cs="Arial" w:eastAsia="Arial" w:hAnsi="Arial"/>
          <w:sz w:val="18"/>
          <w:szCs w:val="18"/>
          <w:color w:val="auto"/>
        </w:rPr>
        <w:t xml:space="preserve"> A summary of the corrections to the impacted financial statement line items is presented below. An adjustment to reclassify a portion of inventories as other noncurrent assets as of December 31, 2024 and 2023 has also been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200"/>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76"/>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222"/>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Adjustment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Revised</w:t>
            </w: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2024</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tax receivable</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1,319</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15"/>
        </w:trPr>
        <w:tc>
          <w:tcPr>
            <w:tcW w:w="53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5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939</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924</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1,668</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1,652</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4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deficit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1,316</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22"/>
        </w:trPr>
        <w:tc>
          <w:tcPr>
            <w:tcW w:w="5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December 31, 2023</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1,257</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28"/>
        </w:trPr>
        <w:tc>
          <w:tcPr>
            <w:tcW w:w="53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28"/>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1,281</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shareholders' deficit</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deficit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1,758</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175260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640" w:top="121" w:right="459" w:bottom="1440" w:gutter="0" w:footer="0" w:header="0"/>
        </w:sectPr>
      </w:pPr>
    </w:p>
    <w:bookmarkStart w:id="18" w:name="page19"/>
    <w:bookmarkEnd w:id="18"/>
    <w:p>
      <w:pPr>
        <w:jc w:val="center"/>
        <w:ind w:right="-25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76"/>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r>
      <w:tr>
        <w:trPr>
          <w:trHeight w:val="222"/>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Adjustment</w:t>
            </w:r>
          </w:p>
        </w:tc>
        <w:tc>
          <w:tcPr>
            <w:tcW w:w="5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Revised</w:t>
            </w: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9"/>
              </w:rPr>
              <w:t>Year ended December 31, 2024</w:t>
            </w:r>
          </w:p>
        </w:tc>
        <w:tc>
          <w:tcPr>
            <w:tcW w:w="134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0.03</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69"/>
        </w:trPr>
        <w:tc>
          <w:tcPr>
            <w:tcW w:w="5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3860" w:type="dxa"/>
            <w:vAlign w:val="bottom"/>
            <w:tcBorders>
              <w:bottom w:val="single" w:sz="8" w:color="auto"/>
            </w:tcBorders>
            <w:gridSpan w:val="4"/>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9"/>
              </w:rPr>
              <w:t>Year ended December 31, 2023</w:t>
            </w:r>
          </w:p>
        </w:tc>
        <w:tc>
          <w:tcPr>
            <w:tcW w:w="134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1,072</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(145)</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(0.94)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69"/>
        </w:trPr>
        <w:tc>
          <w:tcPr>
            <w:tcW w:w="53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3860" w:type="dxa"/>
            <w:vAlign w:val="bottom"/>
            <w:tcBorders>
              <w:bottom w:val="single" w:sz="8" w:color="auto"/>
            </w:tcBorders>
            <w:gridSpan w:val="4"/>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center"/>
              <w:ind w:left="990"/>
              <w:spacing w:after="0"/>
              <w:rPr>
                <w:sz w:val="20"/>
                <w:szCs w:val="20"/>
                <w:color w:val="auto"/>
              </w:rPr>
            </w:pPr>
            <w:r>
              <w:rPr>
                <w:rFonts w:ascii="Arial" w:cs="Arial" w:eastAsia="Arial" w:hAnsi="Arial"/>
                <w:sz w:val="18"/>
                <w:szCs w:val="18"/>
                <w:b w:val="1"/>
                <w:bCs w:val="1"/>
                <w:color w:val="auto"/>
                <w:w w:val="99"/>
              </w:rPr>
              <w:t>Year ended December 31, 2022</w:t>
            </w:r>
          </w:p>
        </w:tc>
        <w:tc>
          <w:tcPr>
            <w:tcW w:w="134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831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827</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6"/>
        </w:trPr>
        <w:tc>
          <w:tcPr>
            <w:tcW w:w="5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b w:val="1"/>
                <w:bCs w:val="1"/>
                <w:color w:val="auto"/>
              </w:rPr>
              <w:t>Loss per Share</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r>
      <w:tr>
        <w:trPr>
          <w:trHeight w:val="238"/>
        </w:trPr>
        <w:tc>
          <w:tcPr>
            <w:tcW w:w="5340" w:type="dxa"/>
            <w:vAlign w:val="bottom"/>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(0.32)</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0.02</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(0.30)</w:t>
            </w:r>
          </w:p>
        </w:tc>
      </w:tr>
    </w:tbl>
    <w:p>
      <w:pPr>
        <w:spacing w:after="0" w:line="227" w:lineRule="exact"/>
        <w:rPr>
          <w:sz w:val="20"/>
          <w:szCs w:val="20"/>
          <w:color w:val="auto"/>
        </w:rPr>
      </w:pPr>
    </w:p>
    <w:p>
      <w:pPr>
        <w:spacing w:after="0" w:line="285" w:lineRule="auto"/>
        <w:rPr>
          <w:sz w:val="20"/>
          <w:szCs w:val="20"/>
          <w:color w:val="auto"/>
        </w:rPr>
      </w:pPr>
      <w:r>
        <w:rPr>
          <w:rFonts w:ascii="Arial" w:cs="Arial" w:eastAsia="Arial" w:hAnsi="Arial"/>
          <w:sz w:val="18"/>
          <w:szCs w:val="18"/>
          <w:color w:val="auto"/>
        </w:rPr>
        <w:t>The consolidated statements of comprehensive income (loss) and the consolidated statements of shareholders' deficit were also revised to reflect the net income (loss) noted above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320" w:top="122" w:right="599" w:bottom="1440" w:gutter="0" w:footer="0" w:header="0"/>
        </w:sectPr>
      </w:pPr>
    </w:p>
    <w:bookmarkStart w:id="19" w:name="page20"/>
    <w:bookmarkEnd w:id="19"/>
    <w:p>
      <w:pPr>
        <w:jc w:val="center"/>
        <w:ind w:right="-439"/>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176"/>
        </w:trPr>
        <w:tc>
          <w:tcPr>
            <w:tcW w:w="5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222"/>
        </w:trPr>
        <w:tc>
          <w:tcPr>
            <w:tcW w:w="5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Adjustment</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Revised</w:t>
            </w: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2024</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1</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8"/>
        </w:trPr>
        <w:tc>
          <w:tcPr>
            <w:tcW w:w="53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2</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190"/>
              <w:spacing w:after="0"/>
              <w:rPr>
                <w:sz w:val="20"/>
                <w:szCs w:val="20"/>
                <w:color w:val="auto"/>
              </w:rPr>
            </w:pPr>
            <w:r>
              <w:rPr>
                <w:rFonts w:ascii="Arial" w:cs="Arial" w:eastAsia="Arial" w:hAnsi="Arial"/>
                <w:sz w:val="18"/>
                <w:szCs w:val="18"/>
                <w:color w:val="auto"/>
                <w:w w:val="99"/>
              </w:rPr>
              <w:t>(1)</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28"/>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(6)</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49"/>
        </w:trPr>
        <w:tc>
          <w:tcPr>
            <w:tcW w:w="53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r>
        <w:trPr>
          <w:trHeight w:val="222"/>
        </w:trPr>
        <w:tc>
          <w:tcPr>
            <w:tcW w:w="5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December 31, 2023</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r>
      <w:tr>
        <w:trPr>
          <w:trHeight w:val="222"/>
        </w:trPr>
        <w:tc>
          <w:tcPr>
            <w:tcW w:w="5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1</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9</w:t>
            </w: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8"/>
        </w:trPr>
        <w:tc>
          <w:tcPr>
            <w:tcW w:w="5340" w:type="dxa"/>
            <w:vAlign w:val="bottom"/>
          </w:tcPr>
          <w:p>
            <w:pPr>
              <w:ind w:left="140"/>
              <w:spacing w:after="0"/>
              <w:rPr>
                <w:sz w:val="20"/>
                <w:szCs w:val="20"/>
                <w:color w:val="auto"/>
              </w:rPr>
            </w:pPr>
            <w:r>
              <w:rPr>
                <w:rFonts w:ascii="Arial" w:cs="Arial" w:eastAsia="Arial" w:hAnsi="Arial"/>
                <w:sz w:val="18"/>
                <w:szCs w:val="18"/>
                <w:color w:val="auto"/>
              </w:rPr>
              <w:t>Other current and noncurrent assets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1540" w:type="dxa"/>
            <w:vAlign w:val="bottom"/>
          </w:tcPr>
          <w:p>
            <w:pPr>
              <w:jc w:val="center"/>
              <w:ind w:left="1190"/>
              <w:spacing w:after="0"/>
              <w:rPr>
                <w:sz w:val="20"/>
                <w:szCs w:val="20"/>
                <w:color w:val="auto"/>
              </w:rPr>
            </w:pPr>
            <w:r>
              <w:rPr>
                <w:rFonts w:ascii="Arial" w:cs="Arial" w:eastAsia="Arial" w:hAnsi="Arial"/>
                <w:sz w:val="18"/>
                <w:szCs w:val="18"/>
                <w:color w:val="auto"/>
                <w:w w:val="99"/>
              </w:rPr>
              <w:t>(9)</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8"/>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1190"/>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2"/>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w:t>
            </w:r>
          </w:p>
        </w:tc>
      </w:tr>
      <w:tr>
        <w:trPr>
          <w:trHeight w:val="249"/>
        </w:trPr>
        <w:tc>
          <w:tcPr>
            <w:tcW w:w="53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spacing w:after="0"/>
              <w:rPr>
                <w:sz w:val="21"/>
                <w:szCs w:val="21"/>
                <w:color w:val="auto"/>
              </w:rPr>
            </w:pPr>
          </w:p>
        </w:tc>
      </w:tr>
      <w:tr>
        <w:trPr>
          <w:trHeight w:val="222"/>
        </w:trPr>
        <w:tc>
          <w:tcPr>
            <w:tcW w:w="5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2022</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9"/>
              </w:rPr>
              <w:t>3</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8"/>
        </w:trPr>
        <w:tc>
          <w:tcPr>
            <w:tcW w:w="53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9"/>
                <w:szCs w:val="19"/>
                <w:color w:val="auto"/>
              </w:rPr>
            </w:pPr>
          </w:p>
        </w:tc>
        <w:tc>
          <w:tcPr>
            <w:tcW w:w="1540" w:type="dxa"/>
            <w:vAlign w:val="bottom"/>
          </w:tcPr>
          <w:p>
            <w:pPr>
              <w:jc w:val="center"/>
              <w:ind w:left="1230"/>
              <w:spacing w:after="0"/>
              <w:rPr>
                <w:sz w:val="20"/>
                <w:szCs w:val="20"/>
                <w:color w:val="auto"/>
              </w:rPr>
            </w:pPr>
            <w:r>
              <w:rPr>
                <w:rFonts w:ascii="Arial" w:cs="Arial" w:eastAsia="Arial" w:hAnsi="Arial"/>
                <w:sz w:val="18"/>
                <w:szCs w:val="18"/>
                <w:color w:val="auto"/>
                <w:w w:val="99"/>
              </w:rPr>
              <w:t>1</w:t>
            </w: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8"/>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w:t>
            </w: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8"/>
        </w:trPr>
        <w:tc>
          <w:tcPr>
            <w:tcW w:w="53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9"/>
              </w:rPr>
              <w:t>(4)</w:t>
            </w:r>
          </w:p>
        </w:tc>
        <w:tc>
          <w:tcPr>
            <w:tcW w:w="3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Indivior PLC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shares in millions)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Revisions to unaudited selected quarterly financial data presented in our Annual Report on Form 10-K for the year ended December 31, 2024 are summarized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rPr>
              <w:t>As reported</w:t>
            </w:r>
          </w:p>
        </w:tc>
        <w:tc>
          <w:tcPr>
            <w:tcW w:w="1500" w:type="dxa"/>
            <w:vAlign w:val="bottom"/>
          </w:tcPr>
          <w:p>
            <w:pPr>
              <w:jc w:val="center"/>
              <w:ind w:left="250"/>
              <w:spacing w:after="0"/>
              <w:rPr>
                <w:sz w:val="20"/>
                <w:szCs w:val="20"/>
                <w:color w:val="auto"/>
              </w:rPr>
            </w:pPr>
            <w:r>
              <w:rPr>
                <w:rFonts w:ascii="Arial" w:cs="Arial" w:eastAsia="Arial" w:hAnsi="Arial"/>
                <w:sz w:val="18"/>
                <w:szCs w:val="18"/>
                <w:b w:val="1"/>
                <w:bCs w:val="1"/>
                <w:color w:val="auto"/>
              </w:rPr>
              <w:t>Adjustment</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Revised</w:t>
            </w:r>
          </w:p>
        </w:tc>
        <w:tc>
          <w:tcPr>
            <w:tcW w:w="500" w:type="dxa"/>
            <w:vAlign w:val="bottom"/>
          </w:tcPr>
          <w:p>
            <w:pPr>
              <w:spacing w:after="0"/>
              <w:rPr>
                <w:sz w:val="19"/>
                <w:szCs w:val="19"/>
                <w:color w:val="auto"/>
              </w:rPr>
            </w:pPr>
          </w:p>
        </w:tc>
      </w:tr>
      <w:tr>
        <w:trPr>
          <w:trHeight w:val="234"/>
        </w:trPr>
        <w:tc>
          <w:tcPr>
            <w:tcW w:w="5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9"/>
              </w:rPr>
              <w:t>Three months ended March 31, 2024</w:t>
            </w:r>
          </w:p>
        </w:tc>
        <w:tc>
          <w:tcPr>
            <w:tcW w:w="500" w:type="dxa"/>
            <w:vAlign w:val="bottom"/>
            <w:tcBorders>
              <w:bottom w:val="single" w:sz="8" w:color="auto"/>
            </w:tcBorders>
          </w:tcPr>
          <w:p>
            <w:pPr>
              <w:spacing w:after="0"/>
              <w:rPr>
                <w:sz w:val="20"/>
                <w:szCs w:val="20"/>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172</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6"/>
        </w:trPr>
        <w:tc>
          <w:tcPr>
            <w:tcW w:w="5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r>
      <w:tr>
        <w:trPr>
          <w:trHeight w:val="222"/>
        </w:trPr>
        <w:tc>
          <w:tcPr>
            <w:tcW w:w="5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8"/>
              </w:rPr>
              <w:t>Three months ended June 30, 2024</w:t>
            </w:r>
          </w:p>
        </w:tc>
        <w:tc>
          <w:tcPr>
            <w:tcW w:w="500" w:type="dxa"/>
            <w:vAlign w:val="bottom"/>
            <w:tcBorders>
              <w:bottom w:val="single" w:sz="8" w:color="auto"/>
            </w:tcBorders>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340</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6"/>
        </w:trPr>
        <w:tc>
          <w:tcPr>
            <w:tcW w:w="5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r>
      <w:tr>
        <w:trPr>
          <w:trHeight w:val="222"/>
        </w:trPr>
        <w:tc>
          <w:tcPr>
            <w:tcW w:w="5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9"/>
              </w:rPr>
              <w:t>Three months ended September 30, 2024</w:t>
            </w:r>
          </w:p>
        </w:tc>
        <w:tc>
          <w:tcPr>
            <w:tcW w:w="500" w:type="dxa"/>
            <w:vAlign w:val="bottom"/>
            <w:tcBorders>
              <w:bottom w:val="single" w:sz="8" w:color="auto"/>
            </w:tcBorders>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207</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236"/>
        </w:trPr>
        <w:tc>
          <w:tcPr>
            <w:tcW w:w="58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r>
      <w:tr>
        <w:trPr>
          <w:trHeight w:val="222"/>
        </w:trPr>
        <w:tc>
          <w:tcPr>
            <w:tcW w:w="58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9"/>
              </w:rPr>
              <w:t>Three months ended December 31, 2024</w:t>
            </w:r>
          </w:p>
        </w:tc>
        <w:tc>
          <w:tcPr>
            <w:tcW w:w="500" w:type="dxa"/>
            <w:vAlign w:val="bottom"/>
            <w:tcBorders>
              <w:bottom w:val="single" w:sz="8" w:color="auto"/>
            </w:tcBorders>
          </w:tcPr>
          <w:p>
            <w:pPr>
              <w:spacing w:after="0"/>
              <w:rPr>
                <w:sz w:val="19"/>
                <w:szCs w:val="19"/>
                <w:color w:val="auto"/>
              </w:rPr>
            </w:pPr>
          </w:p>
        </w:tc>
      </w:tr>
      <w:tr>
        <w:trPr>
          <w:trHeight w:val="222"/>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50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color w:val="auto"/>
              </w:rPr>
              <w:t>Total operating expenses,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206</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28"/>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5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228"/>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500" w:type="dxa"/>
            <w:vAlign w:val="bottom"/>
            <w:tcBorders>
              <w:bottom w:val="single" w:sz="8" w:color="auto"/>
            </w:tcBorders>
          </w:tcPr>
          <w:p>
            <w:pPr>
              <w:jc w:val="right"/>
              <w:ind w:right="127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3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r>
      <w:tr>
        <w:trPr>
          <w:trHeight w:val="20"/>
        </w:trPr>
        <w:tc>
          <w:tcPr>
            <w:tcW w:w="5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9" w:lineRule="exact"/>
        <w:rPr>
          <w:sz w:val="20"/>
          <w:szCs w:val="20"/>
          <w:color w:val="auto"/>
        </w:rPr>
      </w:pPr>
    </w:p>
    <w:p>
      <w:pPr>
        <w:ind w:firstLine="323"/>
        <w:spacing w:after="0" w:line="244" w:lineRule="auto"/>
        <w:rPr>
          <w:sz w:val="20"/>
          <w:szCs w:val="20"/>
          <w:color w:val="auto"/>
        </w:rPr>
      </w:pPr>
      <w:r>
        <w:rPr>
          <w:rFonts w:ascii="Arial" w:cs="Arial" w:eastAsia="Arial" w:hAnsi="Arial"/>
          <w:sz w:val="18"/>
          <w:szCs w:val="18"/>
          <w:color w:val="auto"/>
        </w:rPr>
        <w:t xml:space="preserve">The following discussion of our financial condition and results of operations should be read in conjunction with the unaudited condensed consolidated financial statements included in Part I, Item 1 of this quarterly report on Form 10-Q and with our audited consolidated financial statements, including the accompanying notes, and Management's Discussion and Analysis of Financial Condition and Results of Operations, included in our Annual Report on Form 10-K for the year ended December 31, 2024. As discussed in </w:t>
      </w:r>
      <w:r>
        <w:rPr>
          <w:rFonts w:ascii="Arial" w:cs="Arial" w:eastAsia="Arial" w:hAnsi="Arial"/>
          <w:sz w:val="18"/>
          <w:szCs w:val="18"/>
          <w:i w:val="1"/>
          <w:iCs w:val="1"/>
          <w:color w:val="auto"/>
        </w:rPr>
        <w:t>Note 13. Revision of Previously Issued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Company revised its previously issued financial statements to correct an accrual overstatement that did not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impact for any of the prior quarters or the annual periods in which they occurred. Amounts included in the discussion below for the three months ended March 31, 2024 reflect the revisions.</w:t>
      </w:r>
    </w:p>
    <w:p>
      <w:pPr>
        <w:spacing w:after="0" w:line="126" w:lineRule="exact"/>
        <w:rPr>
          <w:sz w:val="20"/>
          <w:szCs w:val="20"/>
          <w:color w:val="auto"/>
        </w:rPr>
      </w:pPr>
    </w:p>
    <w:p>
      <w:pPr>
        <w:jc w:val="both"/>
        <w:ind w:right="20" w:firstLine="323"/>
        <w:spacing w:after="0" w:line="259" w:lineRule="auto"/>
        <w:rPr>
          <w:sz w:val="20"/>
          <w:szCs w:val="20"/>
          <w:color w:val="auto"/>
        </w:rPr>
      </w:pPr>
      <w:r>
        <w:rPr>
          <w:rFonts w:ascii="Arial" w:cs="Arial" w:eastAsia="Arial" w:hAnsi="Arial"/>
          <w:sz w:val="18"/>
          <w:szCs w:val="18"/>
          <w:color w:val="auto"/>
        </w:rPr>
        <w:t>Indivior is a global pharmaceutical company working to help change patients’ lives by pioneering life-transforming treatment for addiction, including SUBLOCADE (buprenorphine extended-release) injection for subcutaneous use, a long-acting injectable for opioid use disorder and OPVEE (Nalmefene) nasal spray for opioid overdose recovery.</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69" w:lineRule="exact"/>
        <w:rPr>
          <w:sz w:val="20"/>
          <w:szCs w:val="20"/>
          <w:color w:val="auto"/>
        </w:rPr>
      </w:pPr>
    </w:p>
    <w:p>
      <w:pPr>
        <w:ind w:right="60" w:firstLine="323"/>
        <w:spacing w:after="0" w:line="245" w:lineRule="auto"/>
        <w:rPr>
          <w:sz w:val="20"/>
          <w:szCs w:val="20"/>
          <w:color w:val="auto"/>
        </w:rPr>
      </w:pPr>
      <w:r>
        <w:rPr>
          <w:rFonts w:ascii="Arial" w:cs="Arial" w:eastAsia="Arial" w:hAnsi="Arial"/>
          <w:sz w:val="18"/>
          <w:szCs w:val="18"/>
          <w:color w:val="auto"/>
        </w:rPr>
        <w:t>For the periods presented, the Company operated as one business segment, which is predominantly the development, manufacture and sale of buprenorphine-based prescription drugs for the treatment of opioid dependence and related disorders, and nalmefene nasal spray for emergency opioid overdose reversal. Substantially all our net revenue was derived from sales of SUBLOCADE and other buprenorphine-based sublingual products (including SUBOXONE Film and SUBOXONE Tablet). SUBLOCADE accounted for 66% and 63% of our net revenue for the three months ended March 31, 2025, and 2024, respectively. Other buprenorphine-based sublingual products accounted for 32% and 33% of our net revenue for the three months ended March 31, 2025, and 2024, respectively. In the U.S., SUBOXONE Film had an oral buprenorphine medically assisted treatment (BMAT) average share of 14.8% and 17.5% in the three months ended March 31, 2025, and 2024, respectively, according to data from IQVIA.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SUBLOCADE Label Update</w:t>
      </w:r>
    </w:p>
    <w:p>
      <w:pPr>
        <w:spacing w:after="0" w:line="169" w:lineRule="exact"/>
        <w:rPr>
          <w:sz w:val="20"/>
          <w:szCs w:val="20"/>
          <w:color w:val="auto"/>
        </w:rPr>
      </w:pPr>
    </w:p>
    <w:p>
      <w:pPr>
        <w:ind w:right="60" w:firstLine="323"/>
        <w:spacing w:after="0" w:line="267" w:lineRule="auto"/>
        <w:rPr>
          <w:sz w:val="20"/>
          <w:szCs w:val="20"/>
          <w:color w:val="auto"/>
        </w:rPr>
      </w:pPr>
      <w:r>
        <w:rPr>
          <w:rFonts w:ascii="Arial" w:cs="Arial" w:eastAsia="Arial" w:hAnsi="Arial"/>
          <w:sz w:val="18"/>
          <w:szCs w:val="18"/>
          <w:color w:val="auto"/>
        </w:rPr>
        <w:t>On February 24, 2025, the FDA approved label changes for SUBLOCADE, including a rapid initiation protocol and alternative injection sites, marking a significant advancement in the treatment of moderate to severe opioid use disorder (OUD). Key SUBLOCADE label changes include:</w:t>
      </w:r>
    </w:p>
    <w:p>
      <w:pPr>
        <w:spacing w:after="0" w:line="115" w:lineRule="exact"/>
        <w:rPr>
          <w:sz w:val="20"/>
          <w:szCs w:val="20"/>
          <w:color w:val="auto"/>
        </w:rPr>
      </w:pPr>
    </w:p>
    <w:p>
      <w:pPr>
        <w:ind w:right="500" w:firstLine="330"/>
        <w:spacing w:after="0" w:line="26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Rapid initiation Protocol</w:t>
      </w:r>
      <w:r>
        <w:rPr>
          <w:rFonts w:ascii="Arial" w:cs="Arial" w:eastAsia="Arial" w:hAnsi="Arial"/>
          <w:sz w:val="18"/>
          <w:szCs w:val="18"/>
          <w:color w:val="auto"/>
        </w:rPr>
        <w:t>: Healthcare providers can now initiate treatment with SUBLOCADE after a single dose of transmucosal buprenorphine and a one-hour observation period to confirm tolerability. In addition, the second injection of SUBLOCADE may be administered as early as one week after the first injection.</w:t>
      </w:r>
    </w:p>
    <w:p>
      <w:pPr>
        <w:spacing w:after="0" w:line="115" w:lineRule="exact"/>
        <w:rPr>
          <w:rFonts w:ascii="Arial" w:cs="Arial" w:eastAsia="Arial" w:hAnsi="Arial"/>
          <w:sz w:val="18"/>
          <w:szCs w:val="18"/>
          <w:color w:val="auto"/>
        </w:rPr>
      </w:pPr>
    </w:p>
    <w:p>
      <w:pPr>
        <w:ind w:right="380" w:firstLine="330"/>
        <w:spacing w:after="0" w:line="28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Alternative Injection Sites</w:t>
      </w:r>
      <w:r>
        <w:rPr>
          <w:rFonts w:ascii="Arial" w:cs="Arial" w:eastAsia="Arial" w:hAnsi="Arial"/>
          <w:sz w:val="18"/>
          <w:szCs w:val="18"/>
          <w:color w:val="auto"/>
        </w:rPr>
        <w:t>: SUBLOCADE can now be administered subcutaneously in the abdomen, thigh, buttock, or back of the upper arm, offering patients and healthcare providers increased flexibility in treatment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revenue</w:t>
      </w:r>
    </w:p>
    <w:p>
      <w:pPr>
        <w:spacing w:after="0" w:line="169" w:lineRule="exact"/>
        <w:rPr>
          <w:sz w:val="20"/>
          <w:szCs w:val="20"/>
          <w:color w:val="auto"/>
        </w:rPr>
      </w:pPr>
    </w:p>
    <w:p>
      <w:pPr>
        <w:ind w:right="120" w:firstLine="323"/>
        <w:spacing w:after="0" w:line="285" w:lineRule="auto"/>
        <w:rPr>
          <w:sz w:val="20"/>
          <w:szCs w:val="20"/>
          <w:color w:val="auto"/>
        </w:rPr>
      </w:pPr>
      <w:r>
        <w:rPr>
          <w:rFonts w:ascii="Arial" w:cs="Arial" w:eastAsia="Arial" w:hAnsi="Arial"/>
          <w:sz w:val="18"/>
          <w:szCs w:val="18"/>
          <w:color w:val="auto"/>
        </w:rPr>
        <w:t>Net revenue for the three months ended March 31, 2025 and 2024 was driven by sales of SUBLOCADE and other buprenorphine-based sublingual products (including SUBOXONE Film and SUBOXONE Tablet).</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rPr>
              <w:t>Three Months Ended March 31,</w:t>
            </w:r>
          </w:p>
        </w:tc>
        <w:tc>
          <w:tcPr>
            <w:tcW w:w="1260" w:type="dxa"/>
            <w:vAlign w:val="bottom"/>
            <w:tcBorders>
              <w:bottom w:val="single" w:sz="8" w:color="auto"/>
            </w:tcBorders>
          </w:tcPr>
          <w:p>
            <w:pPr>
              <w:spacing w:after="0"/>
              <w:rPr>
                <w:sz w:val="17"/>
                <w:szCs w:val="17"/>
                <w:color w:val="auto"/>
              </w:rPr>
            </w:pPr>
          </w:p>
        </w:tc>
      </w:tr>
      <w:tr>
        <w:trPr>
          <w:trHeight w:val="196"/>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Change</w:t>
            </w:r>
          </w:p>
        </w:tc>
      </w:tr>
      <w:tr>
        <w:trPr>
          <w:trHeight w:val="20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8"/>
        </w:trPr>
        <w:tc>
          <w:tcPr>
            <w:tcW w:w="6380" w:type="dxa"/>
            <w:vAlign w:val="bottom"/>
          </w:tcPr>
          <w:p>
            <w:pPr>
              <w:ind w:left="140"/>
              <w:spacing w:after="0"/>
              <w:rPr>
                <w:sz w:val="20"/>
                <w:szCs w:val="20"/>
                <w:color w:val="auto"/>
              </w:rPr>
            </w:pPr>
            <w:r>
              <w:rPr>
                <w:rFonts w:ascii="Arial" w:cs="Arial" w:eastAsia="Arial" w:hAnsi="Arial"/>
                <w:sz w:val="18"/>
                <w:szCs w:val="18"/>
                <w:color w:val="auto"/>
              </w:rPr>
              <w:t>SUBLOCADE*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8"/>
        </w:trPr>
        <w:tc>
          <w:tcPr>
            <w:tcW w:w="6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Film/other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8"/>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PERSERIS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(59)%</w:t>
            </w:r>
          </w:p>
        </w:tc>
      </w:tr>
      <w:tr>
        <w:trPr>
          <w:trHeight w:val="222"/>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8"/>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the World: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r>
      <w:tr>
        <w:trPr>
          <w:trHeight w:val="24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2"/>
        </w:trPr>
        <w:tc>
          <w:tcPr>
            <w:tcW w:w="6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8"/>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SUBLOCADE net revenue (U.S. and Rest of World)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36" w:lineRule="exact"/>
        <w:rPr>
          <w:sz w:val="20"/>
          <w:szCs w:val="20"/>
          <w:color w:val="auto"/>
        </w:rPr>
      </w:pPr>
    </w:p>
    <w:p>
      <w:pPr>
        <w:ind w:right="200" w:firstLine="323"/>
        <w:spacing w:after="0" w:line="261" w:lineRule="auto"/>
        <w:rPr>
          <w:sz w:val="20"/>
          <w:szCs w:val="20"/>
          <w:color w:val="auto"/>
        </w:rPr>
      </w:pPr>
      <w:r>
        <w:rPr>
          <w:rFonts w:ascii="Arial" w:cs="Arial" w:eastAsia="Arial" w:hAnsi="Arial"/>
          <w:sz w:val="18"/>
          <w:szCs w:val="18"/>
          <w:color w:val="auto"/>
        </w:rPr>
        <w:t>Total net revenue decreased by $18 million, or 6%, to $ 266 million in the three months ended March 31, 2025 from $284 million in the prior year period and U.S. net revenue decreased by 8% to $222 million as compared to $241 million. The decrease was primarily driven by increased competitive activity resulting in lower pricing and market share in the U.S. for SUBOXONE Film, as well as the July 2024 discontinuation of marketing and promotion for PERSERIS.</w:t>
      </w:r>
    </w:p>
    <w:p>
      <w:pPr>
        <w:spacing w:after="0" w:line="121" w:lineRule="exact"/>
        <w:rPr>
          <w:sz w:val="20"/>
          <w:szCs w:val="20"/>
          <w:color w:val="auto"/>
        </w:rPr>
      </w:pPr>
    </w:p>
    <w:p>
      <w:pPr>
        <w:ind w:right="100" w:firstLine="323"/>
        <w:spacing w:after="0" w:line="254" w:lineRule="auto"/>
        <w:rPr>
          <w:sz w:val="20"/>
          <w:szCs w:val="20"/>
          <w:color w:val="auto"/>
        </w:rPr>
      </w:pPr>
      <w:r>
        <w:rPr>
          <w:rFonts w:ascii="Arial" w:cs="Arial" w:eastAsia="Arial" w:hAnsi="Arial"/>
          <w:sz w:val="18"/>
          <w:szCs w:val="18"/>
          <w:b w:val="1"/>
          <w:bCs w:val="1"/>
          <w:i w:val="1"/>
          <w:iCs w:val="1"/>
          <w:color w:val="auto"/>
        </w:rPr>
        <w:t xml:space="preserve">U.S. net revenue. </w:t>
      </w:r>
      <w:r>
        <w:rPr>
          <w:rFonts w:ascii="Arial" w:cs="Arial" w:eastAsia="Arial" w:hAnsi="Arial"/>
          <w:sz w:val="18"/>
          <w:szCs w:val="18"/>
          <w:color w:val="auto"/>
        </w:rPr>
        <w:t>Sales in the U.S. are the largest contributor to our net revenue. Sales rebates, discounts and returns and other offsets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gross revenues are reflected in net revenue. The decrease in U.S. net revenue was primarily driven by a decline in SUBOXONE Film revenue driven by intensified generic competition, which resulted in lower oral BMAT market share and lower pricing, which we expect to continue. Lower U.S. net revenue from SUBLOCADE, which decreased by $4 million, or 3%, from the three months ended March 31, 2024, reflected volume growth in the organized health system (OHS) channel that was more than offset by an expected volume decline from the justice system channel and unfavorable pricing and channel mix, which we expect to continue into the second half of 2025. In the three months ended March 31, 2025, total net revenue from PERSERIS declined to $4 million, reflecting the discontinuation of marketing and promotion of this product in the second half of 2024.</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Rest of the World net revenue. </w:t>
      </w:r>
      <w:r>
        <w:rPr>
          <w:rFonts w:ascii="Arial" w:cs="Arial" w:eastAsia="Arial" w:hAnsi="Arial"/>
          <w:sz w:val="18"/>
          <w:szCs w:val="18"/>
          <w:color w:val="auto"/>
        </w:rPr>
        <w:t>In the three months ended March 31, 2025, net revenue attributable to Rest of the World increased by</w:t>
      </w:r>
    </w:p>
    <w:p>
      <w:pPr>
        <w:spacing w:after="0" w:line="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3% to $44 million as compared to $42 million in the three months ended March 31, 2024, as positive contributions from newer products (SUBLOCADE / SUBUTEX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Prolonged Release and SUBOXONE Film) were partially offset by ongoing generic erosion of the legacy tablet business. In the three months ended March 31, 2025 and 2024, SUBLOCADE / SUBUTEX Prolonged Release net revenue in Rest of World was $13 million and $12 million, respectively. We expect incremental growth from new products to continue to at least offset the decline in the legacy tablet business in 2025.</w:t>
      </w:r>
    </w:p>
    <w:p>
      <w:pPr>
        <w:spacing w:after="0" w:line="139" w:lineRule="exact"/>
        <w:rPr>
          <w:sz w:val="20"/>
          <w:szCs w:val="20"/>
          <w:color w:val="auto"/>
        </w:rPr>
      </w:pPr>
    </w:p>
    <w:p>
      <w:pPr>
        <w:ind w:right="500" w:firstLine="323"/>
        <w:spacing w:after="0" w:line="267" w:lineRule="auto"/>
        <w:rPr>
          <w:sz w:val="20"/>
          <w:szCs w:val="20"/>
          <w:color w:val="auto"/>
        </w:rPr>
      </w:pPr>
      <w:r>
        <w:rPr>
          <w:rFonts w:ascii="Arial" w:cs="Arial" w:eastAsia="Arial" w:hAnsi="Arial"/>
          <w:sz w:val="18"/>
          <w:szCs w:val="18"/>
          <w:color w:val="auto"/>
        </w:rPr>
        <w:t xml:space="preserve">Estimates, assumptions and judgements applied to determine the provision for rebates, discounts and returns are set out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Statements—Note 2. Summary of Significant Accounting Policies" </w:t>
      </w:r>
      <w:r>
        <w:rPr>
          <w:rFonts w:ascii="Arial" w:cs="Arial" w:eastAsia="Arial" w:hAnsi="Arial"/>
          <w:sz w:val="18"/>
          <w:szCs w:val="18"/>
          <w:color w:val="auto"/>
        </w:rPr>
        <w:t>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32" w:lineRule="exact"/>
        <w:rPr>
          <w:sz w:val="20"/>
          <w:szCs w:val="20"/>
          <w:color w:val="auto"/>
        </w:rPr>
      </w:pPr>
    </w:p>
    <w:p>
      <w:pPr>
        <w:ind w:right="20" w:firstLine="323"/>
        <w:spacing w:after="0" w:line="285" w:lineRule="auto"/>
        <w:rPr>
          <w:sz w:val="20"/>
          <w:szCs w:val="20"/>
          <w:color w:val="auto"/>
        </w:rPr>
      </w:pPr>
      <w:r>
        <w:rPr>
          <w:rFonts w:ascii="Arial" w:cs="Arial" w:eastAsia="Arial" w:hAnsi="Arial"/>
          <w:sz w:val="18"/>
          <w:szCs w:val="18"/>
          <w:color w:val="auto"/>
        </w:rPr>
        <w:t>The following table provides a summary of activities with respect to accrued rebates and product returns and prompt pay discounts for the three months ended March 31,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 xml:space="preserve">Accrued rebates and product returns and prompt pay discounts </w:t>
            </w:r>
            <w:r>
              <w:rPr>
                <w:rFonts w:ascii="Arial" w:cs="Arial" w:eastAsia="Arial" w:hAnsi="Arial"/>
                <w:sz w:val="14"/>
                <w:szCs w:val="14"/>
                <w:i w:val="1"/>
                <w:iCs w:val="1"/>
                <w:color w:val="auto"/>
              </w:rPr>
              <w:t>(in millions)</w:t>
            </w:r>
          </w:p>
        </w:tc>
        <w:tc>
          <w:tcPr>
            <w:tcW w:w="20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2025</w:t>
            </w:r>
          </w:p>
        </w:tc>
        <w:tc>
          <w:tcPr>
            <w:tcW w:w="200" w:type="dxa"/>
            <w:vAlign w:val="bottom"/>
          </w:tcPr>
          <w:p>
            <w:pPr>
              <w:spacing w:after="0"/>
              <w:rPr>
                <w:sz w:val="20"/>
                <w:szCs w:val="20"/>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March 31, 2024</w:t>
            </w:r>
          </w:p>
        </w:tc>
      </w:tr>
      <w:tr>
        <w:trPr>
          <w:trHeight w:val="222"/>
        </w:trPr>
        <w:tc>
          <w:tcPr>
            <w:tcW w:w="7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Opening balance at January 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r>
      <w:tr>
        <w:trPr>
          <w:trHeight w:val="228"/>
        </w:trPr>
        <w:tc>
          <w:tcPr>
            <w:tcW w:w="7540" w:type="dxa"/>
            <w:vAlign w:val="bottom"/>
          </w:tcPr>
          <w:p>
            <w:pPr>
              <w:ind w:left="20"/>
              <w:spacing w:after="0"/>
              <w:rPr>
                <w:sz w:val="20"/>
                <w:szCs w:val="20"/>
                <w:color w:val="auto"/>
              </w:rPr>
            </w:pPr>
            <w:r>
              <w:rPr>
                <w:rFonts w:ascii="Arial" w:cs="Arial" w:eastAsia="Arial" w:hAnsi="Arial"/>
                <w:sz w:val="18"/>
                <w:szCs w:val="18"/>
                <w:color w:val="auto"/>
              </w:rPr>
              <w:t>Provision related to sales made in:</w:t>
            </w: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8"/>
        </w:trPr>
        <w:tc>
          <w:tcPr>
            <w:tcW w:w="7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period</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8"/>
        </w:trPr>
        <w:tc>
          <w:tcPr>
            <w:tcW w:w="7540" w:type="dxa"/>
            <w:vAlign w:val="bottom"/>
          </w:tcPr>
          <w:p>
            <w:pPr>
              <w:ind w:left="240"/>
              <w:spacing w:after="0"/>
              <w:rPr>
                <w:sz w:val="20"/>
                <w:szCs w:val="20"/>
                <w:color w:val="auto"/>
              </w:rPr>
            </w:pPr>
            <w:r>
              <w:rPr>
                <w:rFonts w:ascii="Arial" w:cs="Arial" w:eastAsia="Arial" w:hAnsi="Arial"/>
                <w:sz w:val="18"/>
                <w:szCs w:val="18"/>
                <w:color w:val="auto"/>
              </w:rPr>
              <w:t>Prior period</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8"/>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and credits</w:t>
            </w: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2"/>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Closing balance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w:t>
            </w:r>
          </w:p>
        </w:tc>
      </w:tr>
      <w:tr>
        <w:trPr>
          <w:trHeight w:val="20"/>
        </w:trPr>
        <w:tc>
          <w:tcPr>
            <w:tcW w:w="7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right="140" w:firstLine="323"/>
        <w:spacing w:after="0" w:line="261" w:lineRule="auto"/>
        <w:rPr>
          <w:sz w:val="20"/>
          <w:szCs w:val="20"/>
          <w:color w:val="auto"/>
        </w:rPr>
      </w:pPr>
      <w:r>
        <w:rPr>
          <w:rFonts w:ascii="Arial" w:cs="Arial" w:eastAsia="Arial" w:hAnsi="Arial"/>
          <w:sz w:val="18"/>
          <w:szCs w:val="18"/>
          <w:color w:val="auto"/>
        </w:rPr>
        <w:t>Accrued rebates and product returns include chargebacks as these are paid by Indivior. Prompt pay discounts are recorded as offsets to accounts receivable as of March 31, 2025. Accrued rebates and product returns and prompt pay discounts increased to $678 million as of March 31, 2025 from $ 560 million as of December 31, 2024, primarily as a result of a delay in payment of government rebates due to late receipt of invoices. We expect rebate payments to increase in the second quarter.</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Expenses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Three Months Ended March 31,</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87 %</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line="229" w:lineRule="exact"/>
              <w:rPr>
                <w:sz w:val="20"/>
                <w:szCs w:val="20"/>
                <w:color w:val="auto"/>
              </w:rPr>
            </w:pPr>
            <w:r>
              <w:rPr>
                <w:rFonts w:ascii="Arial" w:cs="Arial" w:eastAsia="Arial" w:hAnsi="Arial"/>
                <w:sz w:val="18"/>
                <w:szCs w:val="18"/>
                <w:color w:val="auto"/>
              </w:rPr>
              <w:t>Litigation settlement expenses</w:t>
            </w:r>
            <w:r>
              <w:rPr>
                <w:rFonts w:ascii="Arial" w:cs="Arial" w:eastAsia="Arial" w:hAnsi="Arial"/>
                <w:sz w:val="23"/>
                <w:szCs w:val="23"/>
                <w:color w:val="auto"/>
                <w:vertAlign w:val="superscript"/>
              </w:rPr>
              <w:t>(1)</w:t>
            </w:r>
          </w:p>
        </w:tc>
        <w:tc>
          <w:tcPr>
            <w:tcW w:w="40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7"/>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171</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interest expense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line="20" w:lineRule="exact"/>
              <w:rPr>
                <w:sz w:val="1"/>
                <w:szCs w:val="1"/>
                <w:color w:val="auto"/>
              </w:rPr>
            </w:pPr>
          </w:p>
        </w:tc>
      </w:tr>
      <w:tr>
        <w:trPr>
          <w:trHeight w:val="202"/>
        </w:trPr>
        <w:tc>
          <w:tcPr>
            <w:tcW w:w="63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w:t>
            </w:r>
          </w:p>
        </w:tc>
        <w:tc>
          <w:tcPr>
            <w:tcW w:w="30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28" w:lineRule="exact"/>
        <w:rPr>
          <w:sz w:val="20"/>
          <w:szCs w:val="20"/>
          <w:color w:val="auto"/>
        </w:rPr>
      </w:pPr>
    </w:p>
    <w:p>
      <w:pPr>
        <w:ind w:left="320" w:hanging="313"/>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Item 1. Financial Statements—Note 7. Accrued Litigation Settlement Expenses.</w:t>
      </w:r>
    </w:p>
    <w:p>
      <w:pPr>
        <w:spacing w:after="0" w:line="151" w:lineRule="exact"/>
        <w:rPr>
          <w:sz w:val="20"/>
          <w:szCs w:val="20"/>
          <w:color w:val="auto"/>
        </w:rPr>
      </w:pPr>
    </w:p>
    <w:p>
      <w:pPr>
        <w:ind w:right="40" w:firstLine="323"/>
        <w:spacing w:after="0" w:line="267"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Cost of sales increased by $6 million, or 16%, to $44 million in the three months ended March 31, 2025 from $38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March 31, 2024. The increase primarily reflects favorable manufacturing variances related to SUBLOCADE production that occurred in the first and second quarters of the prior year that did not recur in the current period.</w:t>
      </w:r>
    </w:p>
    <w:p>
      <w:pPr>
        <w:spacing w:after="0" w:line="115" w:lineRule="exact"/>
        <w:rPr>
          <w:sz w:val="20"/>
          <w:szCs w:val="20"/>
          <w:color w:val="auto"/>
        </w:rPr>
      </w:pPr>
    </w:p>
    <w:p>
      <w:pPr>
        <w:ind w:firstLine="323"/>
        <w:spacing w:after="0" w:line="261" w:lineRule="auto"/>
        <w:rPr>
          <w:sz w:val="20"/>
          <w:szCs w:val="20"/>
          <w:color w:val="auto"/>
        </w:rPr>
      </w:pPr>
      <w:r>
        <w:rPr>
          <w:rFonts w:ascii="Arial" w:cs="Arial" w:eastAsia="Arial" w:hAnsi="Arial"/>
          <w:sz w:val="18"/>
          <w:szCs w:val="18"/>
          <w:b w:val="1"/>
          <w:bCs w:val="1"/>
          <w:i w:val="1"/>
          <w:iCs w:val="1"/>
          <w:color w:val="auto"/>
        </w:rPr>
        <w:t>Gross margin</w:t>
      </w:r>
      <w:r>
        <w:rPr>
          <w:rFonts w:ascii="Arial" w:cs="Arial" w:eastAsia="Arial" w:hAnsi="Arial"/>
          <w:sz w:val="18"/>
          <w:szCs w:val="18"/>
          <w:color w:val="auto"/>
        </w:rPr>
        <w:t>, which we define as gross profit divided by net revenue, was 83% in the three months ended March 31, 2025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87% in the three months ended March 31, 2024. The decrease primarily reflects the favorable manufacturing variances related to the production of SUBLOCADE in the prior period that did not recur in the current period. We expect gross margin to continue in the low-to-mid 80 percent range for the remainder of 2025.</w:t>
      </w:r>
    </w:p>
    <w:p>
      <w:pPr>
        <w:spacing w:after="0" w:line="121" w:lineRule="exact"/>
        <w:rPr>
          <w:sz w:val="20"/>
          <w:szCs w:val="20"/>
          <w:color w:val="auto"/>
        </w:rPr>
      </w:pPr>
    </w:p>
    <w:p>
      <w:pPr>
        <w:ind w:right="80" w:firstLine="323"/>
        <w:spacing w:after="0" w:line="258"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decreased by $11 million, or 8%, to $132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2025 from $143 million in the three months ended March 31, 2024. Lower expenses primarily reflect benefits from streamlining actions taken in 2024, including narrowing the Company's commercial focus on OUD treatments and discontinuing marketing and promotion of PERSERIS. General and administrative expenses for the three months ended March 31, 2025 also benefited from a one-time, low-to-mid single-digit change in estimate related to Indivior's share of the Branded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32" w:lineRule="exact"/>
        <w:rPr>
          <w:sz w:val="20"/>
          <w:szCs w:val="20"/>
          <w:color w:val="auto"/>
        </w:rPr>
      </w:pPr>
    </w:p>
    <w:p>
      <w:pPr>
        <w:ind w:firstLine="323"/>
        <w:spacing w:after="0" w:line="261"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decreased by $5 million, or 19%, to $22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2025 from $28 million in the three months ended March 31, 2024, primarily reflecting the Company's actions to refocus its development pipeline on the Phase 2 OUD assets (INDV-2000 and INDV-6001). We expect research and development expenses to continue to track below 2024 levels throughout 2025.</w:t>
      </w:r>
    </w:p>
    <w:p>
      <w:pPr>
        <w:spacing w:after="0" w:line="121" w:lineRule="exact"/>
        <w:rPr>
          <w:sz w:val="20"/>
          <w:szCs w:val="20"/>
          <w:color w:val="auto"/>
        </w:rPr>
      </w:pPr>
    </w:p>
    <w:p>
      <w:pPr>
        <w:ind w:right="160" w:firstLine="323"/>
        <w:spacing w:after="0" w:line="261" w:lineRule="auto"/>
        <w:rPr>
          <w:sz w:val="20"/>
          <w:szCs w:val="20"/>
          <w:color w:val="auto"/>
        </w:rPr>
      </w:pPr>
      <w:r>
        <w:rPr>
          <w:rFonts w:ascii="Arial" w:cs="Arial" w:eastAsia="Arial" w:hAnsi="Arial"/>
          <w:sz w:val="18"/>
          <w:szCs w:val="18"/>
          <w:b w:val="1"/>
          <w:bCs w:val="1"/>
          <w:i w:val="1"/>
          <w:iCs w:val="1"/>
          <w:color w:val="auto"/>
        </w:rPr>
        <w:t>Net interest expense</w:t>
      </w:r>
      <w:r>
        <w:rPr>
          <w:rFonts w:ascii="Arial" w:cs="Arial" w:eastAsia="Arial" w:hAnsi="Arial"/>
          <w:sz w:val="18"/>
          <w:szCs w:val="18"/>
          <w:color w:val="auto"/>
        </w:rPr>
        <w:t>. Net interest expense was $7 million in the three months ended March 31, 2025 as compared to net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$2 million in the three months ended March 31, 2024. The increase in net interest expense reflected the interest expense of the larger amount borrowed under the Company's new borrowing arrangement secured in late 2024 as well as a decrease in interest income on lower investment balances.</w:t>
      </w:r>
    </w:p>
    <w:p>
      <w:pPr>
        <w:spacing w:after="0" w:line="121" w:lineRule="exact"/>
        <w:rPr>
          <w:sz w:val="20"/>
          <w:szCs w:val="20"/>
          <w:color w:val="auto"/>
        </w:rPr>
      </w:pPr>
    </w:p>
    <w:p>
      <w:pPr>
        <w:ind w:right="160" w:firstLine="323"/>
        <w:spacing w:after="0" w:line="258"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Income tax expense was $11 million in the three months ended March 31, 2025 as compared to $11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2024, resulting in an effective tax rate of 19% and 16%, respectively. Both periods benefited from U.K. innovation deductions and intragroup financing transactions; however, in the three months ended March 31, 2025 this benefit was partially offset by a U.K. global minimum top-up tax. In the three months ended March 31, 2024, the Company recognized a share-compensation excess tax benefit.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Known Risks and Uncertainties</w:t>
      </w:r>
    </w:p>
    <w:p>
      <w:pPr>
        <w:spacing w:after="0" w:line="167" w:lineRule="exact"/>
        <w:rPr>
          <w:sz w:val="20"/>
          <w:szCs w:val="20"/>
          <w:color w:val="auto"/>
        </w:rPr>
      </w:pPr>
    </w:p>
    <w:p>
      <w:pPr>
        <w:ind w:firstLine="323"/>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Many risks and uncertainties are discussed in the Risk Factors section in </w:t>
      </w:r>
      <w:hyperlink r:id="rId37">
        <w:r>
          <w:rPr>
            <w:rFonts w:ascii="Arial" w:cs="Arial" w:eastAsia="Arial" w:hAnsi="Arial"/>
            <w:sz w:val="18"/>
            <w:szCs w:val="18"/>
            <w:u w:val="single" w:color="auto"/>
            <w:color w:val="0000FF"/>
          </w:rPr>
          <w:t>Item 1A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Annual Report on Form 10-K filed March 3, 2025, as updated in Part II Item 2 of this report, which we incorporate by reference herein. In addition to that discussion, we note uncertainties regarding how recent tariff actions by the U.S. federal government may impact our revenues. Also, we note that approximately 85% of our revenues are derived from sales within in the U.S. and all of our key products, chiefly SUBLOCADE, OPVEE and SUBOXONE Film are manufactured primarily in the U.S. However, it remains unclear whether the tariffs will apply to raw materials and work in process which are part of our pharmaceutical manufacturing process, and whether tariffs apply to intellectual property owned by our U.K. subsidiary and licensed to other members of our group, including our U.S. subsidiary. Additionally, we do not know whether other countries will impose retaliatory tariffs that may impact the sale of our products and our margins outside of the United States.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7640" w:type="dxa"/>
            <w:vAlign w:val="bottom"/>
            <w:gridSpan w:val="3"/>
          </w:tcPr>
          <w:p>
            <w:pPr>
              <w:ind w:left="340"/>
              <w:spacing w:after="0"/>
              <w:rPr>
                <w:sz w:val="20"/>
                <w:szCs w:val="20"/>
                <w:color w:val="auto"/>
              </w:rPr>
            </w:pPr>
            <w:r>
              <w:rPr>
                <w:rFonts w:ascii="Arial" w:cs="Arial" w:eastAsia="Arial" w:hAnsi="Arial"/>
                <w:sz w:val="18"/>
                <w:szCs w:val="18"/>
                <w:b w:val="1"/>
                <w:bCs w:val="1"/>
                <w:color w:val="auto"/>
              </w:rPr>
              <w:t>Overview</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640" w:type="dxa"/>
            <w:vAlign w:val="bottom"/>
            <w:gridSpan w:val="3"/>
          </w:tcPr>
          <w:p>
            <w:pPr>
              <w:ind w:left="340"/>
              <w:spacing w:after="0"/>
              <w:rPr>
                <w:sz w:val="20"/>
                <w:szCs w:val="20"/>
                <w:color w:val="auto"/>
              </w:rPr>
            </w:pPr>
            <w:r>
              <w:rPr>
                <w:rFonts w:ascii="Arial" w:cs="Arial" w:eastAsia="Arial" w:hAnsi="Arial"/>
                <w:sz w:val="18"/>
                <w:szCs w:val="18"/>
                <w:color w:val="auto"/>
              </w:rPr>
              <w:t>The Company's financial condition is summarized as follows:</w:t>
            </w: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73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March 31, 2025</w:t>
            </w: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December 31, 2024</w:t>
            </w:r>
          </w:p>
        </w:tc>
        <w:tc>
          <w:tcPr>
            <w:tcW w:w="0" w:type="dxa"/>
            <w:vAlign w:val="bottom"/>
          </w:tcPr>
          <w:p>
            <w:pPr>
              <w:spacing w:after="0"/>
              <w:rPr>
                <w:sz w:val="1"/>
                <w:szCs w:val="1"/>
                <w:color w:val="auto"/>
              </w:rPr>
            </w:pPr>
          </w:p>
        </w:tc>
      </w:tr>
      <w:tr>
        <w:trPr>
          <w:trHeight w:val="251"/>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7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34"/>
        </w:trPr>
        <w:tc>
          <w:tcPr>
            <w:tcW w:w="7640" w:type="dxa"/>
            <w:vAlign w:val="bottom"/>
            <w:gridSpan w:val="3"/>
          </w:tcPr>
          <w:p>
            <w:pPr>
              <w:ind w:left="7460"/>
              <w:spacing w:after="0"/>
              <w:rPr>
                <w:sz w:val="20"/>
                <w:szCs w:val="20"/>
                <w:color w:val="auto"/>
              </w:rPr>
            </w:pPr>
            <w:r>
              <w:rPr>
                <w:rFonts w:ascii="Arial" w:cs="Arial" w:eastAsia="Arial" w:hAnsi="Arial"/>
                <w:sz w:val="18"/>
                <w:szCs w:val="18"/>
                <w:color w:val="auto"/>
              </w:rPr>
              <w:t>$</w:t>
            </w:r>
          </w:p>
        </w:tc>
        <w:tc>
          <w:tcPr>
            <w:tcW w:w="1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 short-term</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7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640" w:type="dxa"/>
            <w:vAlign w:val="bottom"/>
            <w:gridSpan w:val="3"/>
          </w:tcPr>
          <w:p>
            <w:pPr>
              <w:ind w:left="20"/>
              <w:spacing w:after="0"/>
              <w:rPr>
                <w:sz w:val="20"/>
                <w:szCs w:val="20"/>
                <w:color w:val="auto"/>
              </w:rPr>
            </w:pPr>
            <w:r>
              <w:rPr>
                <w:rFonts w:ascii="Arial" w:cs="Arial" w:eastAsia="Arial" w:hAnsi="Arial"/>
                <w:sz w:val="18"/>
                <w:szCs w:val="18"/>
                <w:color w:val="auto"/>
              </w:rPr>
              <w:t>Investments - long-term</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4"/>
        </w:trPr>
        <w:tc>
          <w:tcPr>
            <w:tcW w:w="7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4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b w:val="1"/>
                <w:bCs w:val="1"/>
                <w:color w:val="auto"/>
              </w:rPr>
              <w:t>Total cash and investments</w:t>
            </w: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400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0" w:type="dxa"/>
            <w:vAlign w:val="bottom"/>
          </w:tcPr>
          <w:p>
            <w:pPr>
              <w:spacing w:after="0"/>
              <w:rPr>
                <w:sz w:val="1"/>
                <w:szCs w:val="1"/>
                <w:color w:val="auto"/>
              </w:rPr>
            </w:pPr>
          </w:p>
        </w:tc>
      </w:tr>
      <w:tr>
        <w:trPr>
          <w:trHeight w:val="235"/>
        </w:trPr>
        <w:tc>
          <w:tcPr>
            <w:tcW w:w="7640" w:type="dxa"/>
            <w:vAlign w:val="bottom"/>
            <w:gridSpan w:val="3"/>
            <w:shd w:val="clear" w:color="auto" w:fill="CCEEFF"/>
          </w:tcPr>
          <w:p>
            <w:pPr>
              <w:ind w:left="7460"/>
              <w:spacing w:after="0"/>
              <w:rPr>
                <w:sz w:val="20"/>
                <w:szCs w:val="20"/>
                <w:color w:val="auto"/>
              </w:rPr>
            </w:pPr>
            <w:r>
              <w:rPr>
                <w:rFonts w:ascii="Arial" w:cs="Arial" w:eastAsia="Arial" w:hAnsi="Arial"/>
                <w:sz w:val="18"/>
                <w:szCs w:val="18"/>
                <w:b w:val="1"/>
                <w:bCs w:val="1"/>
                <w:color w:val="auto"/>
              </w:rPr>
              <w:t>$</w:t>
            </w:r>
          </w:p>
        </w:tc>
        <w:tc>
          <w:tcPr>
            <w:tcW w:w="1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Borrowings: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74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Short-term borrowings</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4"/>
        </w:trPr>
        <w:tc>
          <w:tcPr>
            <w:tcW w:w="7640" w:type="dxa"/>
            <w:vAlign w:val="bottom"/>
            <w:gridSpan w:val="3"/>
            <w:shd w:val="clear" w:color="auto" w:fill="CCEEFF"/>
          </w:tcPr>
          <w:p>
            <w:pPr>
              <w:ind w:left="7460"/>
              <w:spacing w:after="0"/>
              <w:rPr>
                <w:sz w:val="20"/>
                <w:szCs w:val="20"/>
                <w:color w:val="auto"/>
              </w:rPr>
            </w:pPr>
            <w:r>
              <w:rPr>
                <w:rFonts w:ascii="Arial" w:cs="Arial" w:eastAsia="Arial" w:hAnsi="Arial"/>
                <w:sz w:val="18"/>
                <w:szCs w:val="18"/>
                <w:color w:val="auto"/>
              </w:rPr>
              <w:t>$</w:t>
            </w:r>
          </w:p>
        </w:tc>
        <w:tc>
          <w:tcPr>
            <w:tcW w:w="1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Long-term borrowings</w:t>
            </w: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8"/>
        </w:trPr>
        <w:tc>
          <w:tcPr>
            <w:tcW w:w="7640" w:type="dxa"/>
            <w:vAlign w:val="bottom"/>
            <w:gridSpan w:val="3"/>
          </w:tcPr>
          <w:p>
            <w:pPr>
              <w:ind w:left="7460"/>
              <w:spacing w:after="0"/>
              <w:rPr>
                <w:sz w:val="20"/>
                <w:szCs w:val="20"/>
                <w:color w:val="auto"/>
              </w:rPr>
            </w:pPr>
            <w:r>
              <w:rPr>
                <w:rFonts w:ascii="Arial" w:cs="Arial" w:eastAsia="Arial" w:hAnsi="Arial"/>
                <w:sz w:val="18"/>
                <w:szCs w:val="18"/>
                <w:color w:val="auto"/>
              </w:rPr>
              <w:t>$</w:t>
            </w:r>
          </w:p>
        </w:tc>
        <w:tc>
          <w:tcPr>
            <w:tcW w:w="1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182245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2024</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755"/>
              <w:spacing w:after="0"/>
              <w:rPr>
                <w:sz w:val="20"/>
                <w:szCs w:val="20"/>
                <w:color w:val="auto"/>
              </w:rPr>
            </w:pPr>
            <w:r>
              <w:rPr>
                <w:rFonts w:ascii="Arial" w:cs="Arial" w:eastAsia="Arial" w:hAnsi="Arial"/>
                <w:sz w:val="18"/>
                <w:szCs w:val="18"/>
                <w:color w:val="auto"/>
                <w:w w:val="99"/>
              </w:rPr>
              <w:t>(37)</w:t>
            </w:r>
          </w:p>
        </w:tc>
      </w:tr>
      <w:tr>
        <w:trPr>
          <w:trHeight w:val="22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5"/>
              <w:spacing w:after="0"/>
              <w:rPr>
                <w:sz w:val="20"/>
                <w:szCs w:val="20"/>
                <w:color w:val="auto"/>
              </w:rPr>
            </w:pPr>
            <w:r>
              <w:rPr>
                <w:rFonts w:ascii="Arial" w:cs="Arial" w:eastAsia="Arial" w:hAnsi="Arial"/>
                <w:sz w:val="18"/>
                <w:szCs w:val="18"/>
                <w:color w:val="auto"/>
                <w:w w:val="99"/>
              </w:rPr>
              <w:t>25</w:t>
            </w:r>
          </w:p>
        </w:tc>
      </w:tr>
      <w:tr>
        <w:trPr>
          <w:trHeight w:val="238"/>
        </w:trPr>
        <w:tc>
          <w:tcPr>
            <w:tcW w:w="79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left="755"/>
              <w:spacing w:after="0"/>
              <w:rPr>
                <w:sz w:val="20"/>
                <w:szCs w:val="20"/>
                <w:color w:val="auto"/>
              </w:rPr>
            </w:pPr>
            <w:r>
              <w:rPr>
                <w:rFonts w:ascii="Arial" w:cs="Arial" w:eastAsia="Arial" w:hAnsi="Arial"/>
                <w:sz w:val="18"/>
                <w:szCs w:val="18"/>
                <w:color w:val="auto"/>
                <w:w w:val="99"/>
              </w:rPr>
              <w:t>(56)</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167" w:lineRule="exact"/>
        <w:rPr>
          <w:sz w:val="20"/>
          <w:szCs w:val="20"/>
          <w:color w:val="auto"/>
        </w:rPr>
      </w:pPr>
    </w:p>
    <w:p>
      <w:pPr>
        <w:ind w:right="160" w:firstLine="323"/>
        <w:spacing w:after="0" w:line="258" w:lineRule="auto"/>
        <w:rPr>
          <w:sz w:val="20"/>
          <w:szCs w:val="20"/>
          <w:color w:val="auto"/>
        </w:rPr>
      </w:pPr>
      <w:r>
        <w:rPr>
          <w:rFonts w:ascii="Arial" w:cs="Arial" w:eastAsia="Arial" w:hAnsi="Arial"/>
          <w:sz w:val="18"/>
          <w:szCs w:val="18"/>
          <w:color w:val="auto"/>
        </w:rPr>
        <w:t xml:space="preserve">Net cash provided by operating activities was $75 million during the three months ended March 31, 2025, an increase of $ 112 million, compared to net cash used in operating activities of $37 million in the three months ended March 31, 2024. Net cash provided by operations in the three months ended March 31, 2025 benefited from the timing of receipt of approximately $100 million in government rebate invoices. Both periods reflected scheduled payment of litigation settlements. Refer to </w:t>
      </w:r>
      <w:r>
        <w:rPr>
          <w:rFonts w:ascii="Arial" w:cs="Arial" w:eastAsia="Arial" w:hAnsi="Arial"/>
          <w:sz w:val="18"/>
          <w:szCs w:val="18"/>
          <w:i w:val="1"/>
          <w:iCs w:val="1"/>
          <w:color w:val="auto"/>
        </w:rPr>
        <w:t>Item 1. Financial Statements—Note 7. Accrued Litigation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Settlement Expenses </w:t>
      </w:r>
      <w:r>
        <w:rPr>
          <w:rFonts w:ascii="Arial" w:cs="Arial" w:eastAsia="Arial" w:hAnsi="Arial"/>
          <w:sz w:val="18"/>
          <w:szCs w:val="18"/>
          <w:color w:val="auto"/>
        </w:rPr>
        <w:t>for additional details.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167" w:lineRule="exact"/>
        <w:rPr>
          <w:sz w:val="20"/>
          <w:szCs w:val="20"/>
          <w:color w:val="auto"/>
        </w:rPr>
      </w:pPr>
    </w:p>
    <w:p>
      <w:pPr>
        <w:ind w:firstLine="323"/>
        <w:spacing w:after="0" w:line="267" w:lineRule="auto"/>
        <w:rPr>
          <w:sz w:val="20"/>
          <w:szCs w:val="20"/>
          <w:color w:val="auto"/>
        </w:rPr>
      </w:pPr>
      <w:r>
        <w:rPr>
          <w:rFonts w:ascii="Arial" w:cs="Arial" w:eastAsia="Arial" w:hAnsi="Arial"/>
          <w:sz w:val="18"/>
          <w:szCs w:val="18"/>
          <w:color w:val="auto"/>
        </w:rPr>
        <w:t>Net cash used in investing activities was $5 million in the three months ended March 31, 2025, a decrease of $ 30 million, compared to net cash provided by investing activities of $ 25 million in the three months ended March 31, 2024. The change reflects lower maturities of investments, partly offset by an increase in capital expenditures.</w:t>
      </w:r>
    </w:p>
    <w:p>
      <w:pPr>
        <w:spacing w:after="0" w:line="115" w:lineRule="exact"/>
        <w:rPr>
          <w:sz w:val="20"/>
          <w:szCs w:val="20"/>
          <w:color w:val="auto"/>
        </w:rPr>
      </w:pPr>
    </w:p>
    <w:p>
      <w:pPr>
        <w:ind w:right="460" w:firstLine="323"/>
        <w:spacing w:after="0" w:line="285" w:lineRule="auto"/>
        <w:rPr>
          <w:sz w:val="20"/>
          <w:szCs w:val="20"/>
          <w:color w:val="auto"/>
        </w:rPr>
      </w:pPr>
      <w:r>
        <w:rPr>
          <w:rFonts w:ascii="Arial" w:cs="Arial" w:eastAsia="Arial" w:hAnsi="Arial"/>
          <w:sz w:val="18"/>
          <w:szCs w:val="18"/>
          <w:color w:val="auto"/>
        </w:rPr>
        <w:t>We expect approximately $ 50 million to $70 million of capital expenditures in 2025, primarily to finalize the SUBLOCADE suite at the Raleigh Manufacturing Facility</w:t>
      </w:r>
      <w:r>
        <w:rPr>
          <w:rFonts w:ascii="Arial" w:cs="Arial" w:eastAsia="Arial" w:hAnsi="Arial"/>
          <w:sz w:val="18"/>
          <w:szCs w:val="18"/>
          <w:i w:val="1"/>
          <w:iCs w:val="1"/>
          <w:color w:val="auto"/>
        </w:rPr>
        <w:t>,</w:t>
      </w:r>
      <w:r>
        <w:rPr>
          <w:rFonts w:ascii="Arial" w:cs="Arial" w:eastAsia="Arial" w:hAnsi="Arial"/>
          <w:sz w:val="18"/>
          <w:szCs w:val="18"/>
          <w:color w:val="auto"/>
        </w:rPr>
        <w:t xml:space="preserve"> after which time we expect capital expenditures to revert to levels more in line with Indivior’s history.</w:t>
      </w:r>
    </w:p>
    <w:p>
      <w:pPr>
        <w:spacing w:after="0" w:line="100" w:lineRule="exact"/>
        <w:rPr>
          <w:sz w:val="20"/>
          <w:szCs w:val="20"/>
          <w:color w:val="auto"/>
        </w:rPr>
      </w:pPr>
    </w:p>
    <w:p>
      <w:pPr>
        <w:ind w:left="340" w:right="1300"/>
        <w:spacing w:after="0" w:line="436" w:lineRule="auto"/>
        <w:rPr>
          <w:sz w:val="20"/>
          <w:szCs w:val="20"/>
          <w:color w:val="auto"/>
        </w:rPr>
      </w:pPr>
      <w:r>
        <w:rPr>
          <w:rFonts w:ascii="Arial" w:cs="Arial" w:eastAsia="Arial" w:hAnsi="Arial"/>
          <w:sz w:val="18"/>
          <w:szCs w:val="18"/>
          <w:color w:val="auto"/>
        </w:rPr>
        <w:t xml:space="preserve">The Company expects to continue investing in development stage assets from time to time, with no current commitments. </w:t>
      </w:r>
      <w:r>
        <w:rPr>
          <w:rFonts w:ascii="Arial" w:cs="Arial" w:eastAsia="Arial" w:hAnsi="Arial"/>
          <w:sz w:val="18"/>
          <w:szCs w:val="18"/>
          <w:i w:val="1"/>
          <w:iCs w:val="1"/>
          <w:color w:val="auto"/>
        </w:rPr>
        <w:t>Financing activities</w:t>
      </w:r>
    </w:p>
    <w:p>
      <w:pPr>
        <w:ind w:right="60" w:firstLine="323"/>
        <w:spacing w:after="0" w:line="261" w:lineRule="auto"/>
        <w:rPr>
          <w:sz w:val="20"/>
          <w:szCs w:val="20"/>
          <w:color w:val="auto"/>
        </w:rPr>
      </w:pPr>
      <w:r>
        <w:rPr>
          <w:rFonts w:ascii="Arial" w:cs="Arial" w:eastAsia="Arial" w:hAnsi="Arial"/>
          <w:sz w:val="18"/>
          <w:szCs w:val="18"/>
          <w:color w:val="auto"/>
        </w:rPr>
        <w:t>Net cash used in financing activities decreased by $39 million, from $56 million in the three months ended March 31, 2024 to $17 million in the three months ended March 31, 2025. Net cash used in financing activities in the current period primarily reflects lower cash outflows for shares repurchased and canceled and the settlement of tax on equity awards partially offset by higher scheduled amortization payments under the Company's new debt facility. In 2025, the annual scheduled amortization is 5% of the original gross loan balance.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Current Liabilities</w:t>
      </w:r>
    </w:p>
    <w:p>
      <w:pPr>
        <w:spacing w:after="0" w:line="167" w:lineRule="exact"/>
        <w:rPr>
          <w:sz w:val="20"/>
          <w:szCs w:val="20"/>
          <w:color w:val="auto"/>
        </w:rPr>
      </w:pPr>
    </w:p>
    <w:p>
      <w:pPr>
        <w:ind w:right="100" w:firstLine="323"/>
        <w:spacing w:after="0" w:line="285" w:lineRule="auto"/>
        <w:rPr>
          <w:sz w:val="20"/>
          <w:szCs w:val="20"/>
          <w:color w:val="auto"/>
        </w:rPr>
      </w:pPr>
      <w:r>
        <w:rPr>
          <w:rFonts w:ascii="Arial" w:cs="Arial" w:eastAsia="Arial" w:hAnsi="Arial"/>
          <w:sz w:val="18"/>
          <w:szCs w:val="18"/>
          <w:color w:val="auto"/>
        </w:rPr>
        <w:t>Our current liabilities exceed our current assets by $122 million and total liabilities exceed our total assets by $285 million. The Company could sustain negative working capital because of the timing of rebate payments relative to the collection of accounts receivable.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Resources</w:t>
      </w:r>
    </w:p>
    <w:p>
      <w:pPr>
        <w:spacing w:after="0" w:line="169" w:lineRule="exact"/>
        <w:rPr>
          <w:sz w:val="20"/>
          <w:szCs w:val="20"/>
          <w:color w:val="auto"/>
        </w:rPr>
      </w:pPr>
    </w:p>
    <w:p>
      <w:pPr>
        <w:ind w:right="100" w:firstLine="323"/>
        <w:spacing w:after="0" w:line="258" w:lineRule="auto"/>
        <w:rPr>
          <w:sz w:val="20"/>
          <w:szCs w:val="20"/>
          <w:color w:val="auto"/>
        </w:rPr>
      </w:pPr>
      <w:r>
        <w:rPr>
          <w:rFonts w:ascii="Arial" w:cs="Arial" w:eastAsia="Arial" w:hAnsi="Arial"/>
          <w:sz w:val="18"/>
          <w:szCs w:val="18"/>
          <w:color w:val="auto"/>
        </w:rPr>
        <w:t>The Company believes its existing cash and cash equivalents and investments together with cash generated from operations and debt will enable its anticipated cash needs to be met, including working capital, capital expenditures, litigation settlement payments, milestone payments, income taxes, debt repayments and other funding requirements, for at least the twelve-month period following the issuance of this Form 10-Q. The Company will need to sustain sales volume performance with no material change in the timing of its collections and rebate payments to maintain necessary liquidity in the near term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meet our obligations in the long term. The Company is also subject to contingent liabilities as described in </w:t>
      </w:r>
      <w:r>
        <w:rPr>
          <w:rFonts w:ascii="Arial" w:cs="Arial" w:eastAsia="Arial" w:hAnsi="Arial"/>
          <w:sz w:val="17"/>
          <w:szCs w:val="17"/>
          <w:i w:val="1"/>
          <w:iCs w:val="1"/>
          <w:color w:val="auto"/>
        </w:rPr>
        <w:t>Item 1. Financial Statements—Note</w:t>
      </w:r>
    </w:p>
    <w:p>
      <w:pPr>
        <w:spacing w:after="0" w:line="38" w:lineRule="exact"/>
        <w:rPr>
          <w:sz w:val="20"/>
          <w:szCs w:val="20"/>
          <w:color w:val="auto"/>
        </w:rPr>
      </w:pPr>
    </w:p>
    <w:p>
      <w:pPr>
        <w:ind w:left="300" w:hanging="293"/>
        <w:spacing w:after="0"/>
        <w:tabs>
          <w:tab w:leader="none" w:pos="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151"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8"/>
          <w:szCs w:val="18"/>
          <w:b w:val="1"/>
          <w:bCs w:val="1"/>
          <w:color w:val="auto"/>
        </w:rPr>
        <w:t>Capital Expenditures</w:t>
      </w:r>
    </w:p>
    <w:p>
      <w:pPr>
        <w:spacing w:after="0" w:line="210"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Three Months Ended March 31,</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r>
      <w:tr>
        <w:trPr>
          <w:trHeight w:val="22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plant and equipment</w:t>
            </w:r>
          </w:p>
        </w:tc>
        <w:tc>
          <w:tcPr>
            <w:tcW w:w="2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bl>
    <w:p>
      <w:pPr>
        <w:spacing w:after="0" w:line="236" w:lineRule="exact"/>
        <w:rPr>
          <w:sz w:val="20"/>
          <w:szCs w:val="20"/>
          <w:color w:val="auto"/>
        </w:rPr>
      </w:pPr>
    </w:p>
    <w:p>
      <w:pPr>
        <w:ind w:left="340" w:right="1420"/>
        <w:spacing w:after="0" w:line="436" w:lineRule="auto"/>
        <w:rPr>
          <w:sz w:val="20"/>
          <w:szCs w:val="20"/>
          <w:color w:val="auto"/>
        </w:rPr>
      </w:pPr>
      <w:r>
        <w:rPr>
          <w:rFonts w:ascii="Arial" w:cs="Arial" w:eastAsia="Arial" w:hAnsi="Arial"/>
          <w:sz w:val="18"/>
          <w:szCs w:val="18"/>
          <w:color w:val="auto"/>
        </w:rPr>
        <w:t xml:space="preserve">The Company’s capital expenditures primarily reflect investments in the expansion of the Raleigh Manufacturing Facility. </w:t>
      </w:r>
      <w:r>
        <w:rPr>
          <w:rFonts w:ascii="Arial" w:cs="Arial" w:eastAsia="Arial" w:hAnsi="Arial"/>
          <w:sz w:val="18"/>
          <w:szCs w:val="18"/>
          <w:b w:val="1"/>
          <w:bCs w:val="1"/>
          <w:color w:val="auto"/>
        </w:rPr>
        <w:t>Contractual Obligations</w:t>
      </w:r>
    </w:p>
    <w:p>
      <w:pPr>
        <w:ind w:right="80" w:firstLine="323"/>
        <w:spacing w:after="0" w:line="258" w:lineRule="auto"/>
        <w:rPr>
          <w:sz w:val="20"/>
          <w:szCs w:val="20"/>
          <w:color w:val="auto"/>
        </w:rPr>
      </w:pPr>
      <w:r>
        <w:rPr>
          <w:rFonts w:ascii="Arial" w:cs="Arial" w:eastAsia="Arial" w:hAnsi="Arial"/>
          <w:sz w:val="18"/>
          <w:szCs w:val="18"/>
          <w:color w:val="auto"/>
        </w:rPr>
        <w:t xml:space="preserve">Our contractual obligations as of March 31, 2025, which require material cash requirements in the future, consist of debt repayments, litigation settlements, commercial commitments related to contract manufacturing and supply of materials, capital expenditures, lease and employee-related obligations, contractual milestones and contingent value rights. Refer to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of our Annual Report on Form 10-K for the year ended December 31, 2024.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2025 no material changes to our contractual obligations have occurred beyond the ordinary course of business.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Patents and Licenses, etc.</w:t>
      </w:r>
    </w:p>
    <w:p>
      <w:pPr>
        <w:spacing w:after="0" w:line="169" w:lineRule="exact"/>
        <w:rPr>
          <w:sz w:val="20"/>
          <w:szCs w:val="20"/>
          <w:color w:val="auto"/>
        </w:rPr>
      </w:pPr>
    </w:p>
    <w:p>
      <w:pPr>
        <w:ind w:right="20" w:firstLine="323"/>
        <w:spacing w:after="0" w:line="267" w:lineRule="auto"/>
        <w:rPr>
          <w:sz w:val="20"/>
          <w:szCs w:val="20"/>
          <w:color w:val="auto"/>
        </w:rPr>
      </w:pPr>
      <w:r>
        <w:rPr>
          <w:rFonts w:ascii="Arial" w:cs="Arial" w:eastAsia="Arial" w:hAnsi="Arial"/>
          <w:sz w:val="18"/>
          <w:szCs w:val="18"/>
          <w:color w:val="auto"/>
        </w:rPr>
        <w:t xml:space="preserve">No material changes have occurred from the information provided in </w:t>
      </w:r>
      <w:r>
        <w:rPr>
          <w:rFonts w:ascii="Arial" w:cs="Arial" w:eastAsia="Arial" w:hAnsi="Arial"/>
          <w:sz w:val="18"/>
          <w:szCs w:val="18"/>
          <w:i w:val="1"/>
          <w:iCs w:val="1"/>
          <w:color w:val="auto"/>
        </w:rPr>
        <w:t>Item 1. Business—Research and Development</w:t>
      </w:r>
      <w:r>
        <w:rPr>
          <w:rFonts w:ascii="Arial" w:cs="Arial" w:eastAsia="Arial" w:hAnsi="Arial"/>
          <w:sz w:val="18"/>
          <w:szCs w:val="18"/>
          <w:color w:val="auto"/>
        </w:rPr>
        <w:t>,”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Intellectual Property</w:t>
      </w:r>
      <w:r>
        <w:rPr>
          <w:rFonts w:ascii="Arial" w:cs="Arial" w:eastAsia="Arial" w:hAnsi="Arial"/>
          <w:sz w:val="18"/>
          <w:szCs w:val="18"/>
          <w:color w:val="auto"/>
        </w:rPr>
        <w:t>,” and “</w:t>
      </w:r>
      <w:r>
        <w:rPr>
          <w:rFonts w:ascii="Arial" w:cs="Arial" w:eastAsia="Arial" w:hAnsi="Arial"/>
          <w:sz w:val="18"/>
          <w:szCs w:val="18"/>
          <w:i w:val="1"/>
          <w:iCs w:val="1"/>
          <w:color w:val="auto"/>
        </w:rPr>
        <w:t xml:space="preserve">Item 7. Management’s Discussion and Analysis of Financial Condition and Results of Operations—Operating Results" </w:t>
      </w:r>
      <w:r>
        <w:rPr>
          <w:rFonts w:ascii="Arial" w:cs="Arial" w:eastAsia="Arial" w:hAnsi="Arial"/>
          <w:sz w:val="18"/>
          <w:szCs w:val="18"/>
          <w:color w:val="auto"/>
        </w:rPr>
        <w:t>of the Company’s Annual Report on Form 10-K for the year ended December 31, 2024.</w:t>
      </w:r>
    </w:p>
    <w:p>
      <w:pPr>
        <w:spacing w:after="0" w:line="115" w:lineRule="exact"/>
        <w:rPr>
          <w:sz w:val="20"/>
          <w:szCs w:val="20"/>
          <w:color w:val="auto"/>
        </w:rPr>
      </w:pPr>
    </w:p>
    <w:p>
      <w:pPr>
        <w:jc w:val="both"/>
        <w:ind w:right="20" w:firstLine="323"/>
        <w:spacing w:after="0" w:line="267" w:lineRule="auto"/>
        <w:rPr>
          <w:sz w:val="20"/>
          <w:szCs w:val="20"/>
          <w:color w:val="auto"/>
        </w:rPr>
      </w:pPr>
      <w:r>
        <w:rPr>
          <w:rFonts w:ascii="Arial" w:cs="Arial" w:eastAsia="Arial" w:hAnsi="Arial"/>
          <w:sz w:val="18"/>
          <w:szCs w:val="18"/>
          <w:color w:val="auto"/>
        </w:rPr>
        <w:t>INDV-2000 (Selective OREXIN-1 Receptor Antagonist): For the Phase 2 proof of concept study, the first subject first visit was achieved on June 10, 2024. The estimated last subject last visit is now expected in the first half of 2026 (previously late 2025). The delay is due to a lower than expected conversion rate from subject screening to study enrollment.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 Information</w:t>
      </w:r>
    </w:p>
    <w:p>
      <w:pPr>
        <w:spacing w:after="0" w:line="169" w:lineRule="exact"/>
        <w:rPr>
          <w:sz w:val="20"/>
          <w:szCs w:val="20"/>
          <w:color w:val="auto"/>
        </w:rPr>
      </w:pPr>
    </w:p>
    <w:p>
      <w:pPr>
        <w:ind w:right="800" w:firstLine="323"/>
        <w:spacing w:after="0" w:line="285" w:lineRule="auto"/>
        <w:rPr>
          <w:sz w:val="20"/>
          <w:szCs w:val="20"/>
          <w:color w:val="auto"/>
        </w:rPr>
      </w:pPr>
      <w:r>
        <w:rPr>
          <w:rFonts w:ascii="Arial" w:cs="Arial" w:eastAsia="Arial" w:hAnsi="Arial"/>
          <w:sz w:val="18"/>
          <w:szCs w:val="18"/>
          <w:color w:val="auto"/>
        </w:rPr>
        <w:t>For a discussion of trend information, see “</w:t>
      </w:r>
      <w:r>
        <w:rPr>
          <w:rFonts w:ascii="Arial" w:cs="Arial" w:eastAsia="Arial" w:hAnsi="Arial"/>
          <w:sz w:val="18"/>
          <w:szCs w:val="18"/>
          <w:i w:val="1"/>
          <w:iCs w:val="1"/>
          <w:color w:val="auto"/>
        </w:rPr>
        <w:t>Item 2.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Operations—Operating Results.</w:t>
      </w:r>
      <w:r>
        <w:rPr>
          <w:rFonts w:ascii="Arial" w:cs="Arial" w:eastAsia="Arial" w:hAnsi="Arial"/>
          <w:sz w:val="18"/>
          <w:szCs w:val="18"/>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9" w:lineRule="exact"/>
        <w:rPr>
          <w:sz w:val="20"/>
          <w:szCs w:val="20"/>
          <w:color w:val="auto"/>
        </w:rPr>
      </w:pPr>
    </w:p>
    <w:p>
      <w:pPr>
        <w:ind w:firstLine="323"/>
        <w:spacing w:after="0" w:line="256" w:lineRule="auto"/>
        <w:rPr>
          <w:sz w:val="20"/>
          <w:szCs w:val="20"/>
          <w:color w:val="auto"/>
        </w:rPr>
      </w:pPr>
      <w:r>
        <w:rPr>
          <w:rFonts w:ascii="Arial" w:cs="Arial" w:eastAsia="Arial" w:hAnsi="Arial"/>
          <w:sz w:val="18"/>
          <w:szCs w:val="18"/>
          <w:color w:val="auto"/>
        </w:rPr>
        <w:t xml:space="preserve">Our significant accounting policies, which include management’s estimates and judgments, are included in </w:t>
      </w:r>
      <w:r>
        <w:rPr>
          <w:rFonts w:ascii="Arial" w:cs="Arial" w:eastAsia="Arial" w:hAnsi="Arial"/>
          <w:sz w:val="18"/>
          <w:szCs w:val="18"/>
          <w:i w:val="1"/>
          <w:iCs w:val="1"/>
          <w:color w:val="auto"/>
        </w:rPr>
        <w:t>"Item 1. Financial Statements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2 Summary of Significant Accounting Policies" </w:t>
      </w:r>
      <w:r>
        <w:rPr>
          <w:rFonts w:ascii="Arial" w:cs="Arial" w:eastAsia="Arial" w:hAnsi="Arial"/>
          <w:sz w:val="18"/>
          <w:szCs w:val="18"/>
          <w:color w:val="auto"/>
        </w:rPr>
        <w:t>of our Annual Report on Form 10-K for the year ended December 31, 2024. No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to our accounting policies occurred during the quarter ended March 31, 2025. A discussion of accounting estimates considered critical because of the potential for a significant impact on the financial statements due to the inherent uncertainty in such estimates is included in the Critical Accounting Estimates section of </w:t>
      </w:r>
      <w:r>
        <w:rPr>
          <w:rFonts w:ascii="Arial" w:cs="Arial" w:eastAsia="Arial" w:hAnsi="Arial"/>
          <w:sz w:val="18"/>
          <w:szCs w:val="18"/>
          <w:i w:val="1"/>
          <w:iCs w:val="1"/>
          <w:color w:val="auto"/>
        </w:rPr>
        <w:t>"Item 7. 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w:t>
      </w:r>
      <w:r>
        <w:rPr>
          <w:rFonts w:ascii="Arial" w:cs="Arial" w:eastAsia="Arial" w:hAnsi="Arial"/>
          <w:sz w:val="18"/>
          <w:szCs w:val="18"/>
          <w:color w:val="auto"/>
        </w:rPr>
        <w:t>of our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9" w:lineRule="exact"/>
        <w:rPr>
          <w:sz w:val="20"/>
          <w:szCs w:val="20"/>
          <w:color w:val="auto"/>
        </w:rPr>
      </w:pPr>
    </w:p>
    <w:p>
      <w:pPr>
        <w:ind w:right="240" w:firstLine="323"/>
        <w:spacing w:after="0" w:line="285" w:lineRule="auto"/>
        <w:rPr>
          <w:sz w:val="20"/>
          <w:szCs w:val="20"/>
          <w:color w:val="auto"/>
        </w:rPr>
      </w:pPr>
      <w:r>
        <w:rPr>
          <w:rFonts w:ascii="Arial" w:cs="Arial" w:eastAsia="Arial" w:hAnsi="Arial"/>
          <w:sz w:val="18"/>
          <w:szCs w:val="18"/>
          <w:color w:val="auto"/>
        </w:rPr>
        <w:t xml:space="preserve">For a discussion of recently issued accounting standards, refer to </w:t>
      </w:r>
      <w:r>
        <w:rPr>
          <w:rFonts w:ascii="Arial" w:cs="Arial" w:eastAsia="Arial" w:hAnsi="Arial"/>
          <w:sz w:val="18"/>
          <w:szCs w:val="18"/>
          <w:i w:val="1"/>
          <w:iCs w:val="1"/>
          <w:color w:val="auto"/>
        </w:rPr>
        <w:t>Item 1. Financial Statements - Note 1. Business Overview,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Recently Issued Accounting Standards</w:t>
      </w:r>
      <w:r>
        <w:rPr>
          <w:rFonts w:ascii="Arial" w:cs="Arial" w:eastAsia="Arial" w:hAnsi="Arial"/>
          <w:sz w:val="18"/>
          <w:szCs w:val="18"/>
          <w:color w:val="auto"/>
        </w:rPr>
        <w: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9" w:lineRule="exact"/>
        <w:rPr>
          <w:sz w:val="20"/>
          <w:szCs w:val="20"/>
          <w:color w:val="auto"/>
        </w:rPr>
      </w:pPr>
    </w:p>
    <w:p>
      <w:pPr>
        <w:ind w:right="320" w:firstLine="323"/>
        <w:spacing w:after="0" w:line="285" w:lineRule="auto"/>
        <w:rPr>
          <w:sz w:val="20"/>
          <w:szCs w:val="20"/>
          <w:color w:val="auto"/>
        </w:rPr>
      </w:pPr>
      <w:r>
        <w:rPr>
          <w:rFonts w:ascii="Arial" w:cs="Arial" w:eastAsia="Arial" w:hAnsi="Arial"/>
          <w:sz w:val="18"/>
          <w:szCs w:val="18"/>
          <w:color w:val="auto"/>
        </w:rPr>
        <w:t xml:space="preserve">No material changes in market risk have occurred from the information provided in </w:t>
      </w:r>
      <w:r>
        <w:rPr>
          <w:rFonts w:ascii="Arial" w:cs="Arial" w:eastAsia="Arial" w:hAnsi="Arial"/>
          <w:sz w:val="18"/>
          <w:szCs w:val="18"/>
          <w:i w:val="1"/>
          <w:iCs w:val="1"/>
          <w:color w:val="auto"/>
        </w:rPr>
        <w:t>Item 7A. Quantitative and Qualitative Disclosures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About Market Risk </w:t>
      </w:r>
      <w:r>
        <w:rPr>
          <w:rFonts w:ascii="Arial" w:cs="Arial" w:eastAsia="Arial" w:hAnsi="Arial"/>
          <w:sz w:val="18"/>
          <w:szCs w:val="18"/>
          <w:color w:val="auto"/>
        </w:rPr>
        <w:t>in the Company’s Annual Report on Form 10-K.</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Disclosure Controls and Procedures</w:t>
      </w:r>
    </w:p>
    <w:p>
      <w:pPr>
        <w:spacing w:after="0" w:line="169" w:lineRule="exact"/>
        <w:rPr>
          <w:sz w:val="20"/>
          <w:szCs w:val="20"/>
          <w:color w:val="auto"/>
        </w:rPr>
      </w:pPr>
    </w:p>
    <w:p>
      <w:pPr>
        <w:ind w:right="40" w:firstLine="323"/>
        <w:spacing w:after="0" w:line="261" w:lineRule="auto"/>
        <w:rPr>
          <w:sz w:val="20"/>
          <w:szCs w:val="20"/>
          <w:color w:val="auto"/>
        </w:rPr>
      </w:pPr>
      <w:r>
        <w:rPr>
          <w:rFonts w:ascii="Arial" w:cs="Arial" w:eastAsia="Arial" w:hAnsi="Arial"/>
          <w:sz w:val="18"/>
          <w:szCs w:val="18"/>
          <w:color w:val="auto"/>
        </w:rPr>
        <w:t>Management, with the participation of the Chief Executive Officer and Chief Financial Officer, carried out an evaluation of the effectiveness of Indivior PLC’s disclosure controls and procedures as defined in Rules 13a-15(e) and 15d-15(e) of the Securities Exchange Act of 1934, as amended, as of the end of the period covered by this report. Based on that evaluation, the Chief Executive Officer and Chief Financial Officer concluded that Indivior PLC’s disclosure controls and procedures were effective as of March 31, 2025.</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9"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There was no change in the Company’s internal control over financial reporting (ICFR) that occurred during the quarter ended March 31, 2025 that has materially affected, or is likely to materially affect, the Company’s ICFR.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8" w:name="page29"/>
    <w:bookmarkEnd w:id="28"/>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9" w:lineRule="exact"/>
        <w:rPr>
          <w:sz w:val="20"/>
          <w:szCs w:val="20"/>
          <w:color w:val="auto"/>
        </w:rPr>
      </w:pPr>
    </w:p>
    <w:p>
      <w:pPr>
        <w:ind w:right="480" w:firstLine="323"/>
        <w:spacing w:after="0" w:line="267" w:lineRule="auto"/>
        <w:rPr>
          <w:sz w:val="20"/>
          <w:szCs w:val="20"/>
          <w:color w:val="auto"/>
        </w:rPr>
      </w:pPr>
      <w:r>
        <w:rPr>
          <w:rFonts w:ascii="Arial" w:cs="Arial" w:eastAsia="Arial" w:hAnsi="Arial"/>
          <w:sz w:val="18"/>
          <w:szCs w:val="18"/>
          <w:color w:val="auto"/>
        </w:rPr>
        <w:t xml:space="preserve">The descriptions of our litigation and regulatory matters, and other matters, contained in </w:t>
      </w:r>
      <w:r>
        <w:rPr>
          <w:rFonts w:ascii="Arial" w:cs="Arial" w:eastAsia="Arial" w:hAnsi="Arial"/>
          <w:sz w:val="18"/>
          <w:szCs w:val="18"/>
          <w:i w:val="1"/>
          <w:iCs w:val="1"/>
          <w:color w:val="auto"/>
        </w:rPr>
        <w:t>Item 1. Financial Statements—Unaudited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Condensed Consolidated Financial Statements - Note 12. Commitments and Contingencies </w:t>
      </w:r>
      <w:r>
        <w:rPr>
          <w:rFonts w:ascii="Arial" w:cs="Arial" w:eastAsia="Arial" w:hAnsi="Arial"/>
          <w:sz w:val="18"/>
          <w:szCs w:val="18"/>
          <w:color w:val="auto"/>
        </w:rPr>
        <w:t>to our financial statements are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herein by reference.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replaces its existing risk factor pertaining to tariffs with the following:</w:t>
      </w:r>
    </w:p>
    <w:p>
      <w:pPr>
        <w:spacing w:after="0" w:line="171" w:lineRule="exact"/>
        <w:rPr>
          <w:sz w:val="20"/>
          <w:szCs w:val="20"/>
          <w:color w:val="auto"/>
        </w:rPr>
      </w:pPr>
    </w:p>
    <w:p>
      <w:pPr>
        <w:ind w:left="660" w:right="200" w:firstLine="645"/>
        <w:spacing w:after="0" w:line="292" w:lineRule="auto"/>
        <w:rPr>
          <w:sz w:val="20"/>
          <w:szCs w:val="20"/>
          <w:color w:val="auto"/>
        </w:rPr>
      </w:pPr>
      <w:r>
        <w:rPr>
          <w:rFonts w:ascii="Arial" w:cs="Arial" w:eastAsia="Arial" w:hAnsi="Arial"/>
          <w:sz w:val="18"/>
          <w:szCs w:val="18"/>
          <w:b w:val="1"/>
          <w:bCs w:val="1"/>
          <w:i w:val="1"/>
          <w:iCs w:val="1"/>
          <w:color w:val="auto"/>
        </w:rPr>
        <w:t>Recently proposed tariffs on pharmaceutical products, and potential reciprocal responses by other countries, may adversely affect our revenues or profitability.</w:t>
      </w:r>
    </w:p>
    <w:p>
      <w:pPr>
        <w:spacing w:after="0" w:line="86" w:lineRule="exact"/>
        <w:rPr>
          <w:sz w:val="20"/>
          <w:szCs w:val="20"/>
          <w:color w:val="auto"/>
        </w:rPr>
      </w:pPr>
    </w:p>
    <w:p>
      <w:pPr>
        <w:ind w:left="660" w:right="80" w:firstLine="645"/>
        <w:spacing w:after="0" w:line="258" w:lineRule="auto"/>
        <w:rPr>
          <w:sz w:val="20"/>
          <w:szCs w:val="20"/>
          <w:color w:val="auto"/>
        </w:rPr>
      </w:pPr>
      <w:r>
        <w:rPr>
          <w:rFonts w:ascii="Arial" w:cs="Arial" w:eastAsia="Arial" w:hAnsi="Arial"/>
          <w:sz w:val="18"/>
          <w:szCs w:val="18"/>
          <w:color w:val="auto"/>
        </w:rPr>
        <w:t>The U.S. federal government recently made comments regarding tariffs of 25% or more. The government indicated that such tariff rates might increase substantially over the course of the year to allow manufacturers a phase-in period that would allow for the potential on-shoring of manufacturing. It is unclear at this time whether and to what extent such tariffs will take place, or how affected countries may react. At this time, few details are available, and policy details appear to be subject to negotiation and future change. The ultimate impact on Indivior will depend on the exact terms and timing of any tariff.</w:t>
      </w:r>
    </w:p>
    <w:p>
      <w:pPr>
        <w:spacing w:after="0" w:line="124" w:lineRule="exact"/>
        <w:rPr>
          <w:sz w:val="20"/>
          <w:szCs w:val="20"/>
          <w:color w:val="auto"/>
        </w:rPr>
      </w:pPr>
    </w:p>
    <w:p>
      <w:pPr>
        <w:ind w:left="660" w:firstLine="645"/>
        <w:spacing w:after="0" w:line="253" w:lineRule="auto"/>
        <w:rPr>
          <w:sz w:val="20"/>
          <w:szCs w:val="20"/>
          <w:color w:val="auto"/>
        </w:rPr>
      </w:pPr>
      <w:r>
        <w:rPr>
          <w:rFonts w:ascii="Arial" w:cs="Arial" w:eastAsia="Arial" w:hAnsi="Arial"/>
          <w:sz w:val="18"/>
          <w:szCs w:val="18"/>
          <w:color w:val="auto"/>
        </w:rPr>
        <w:t>We operate as a multi-national group of companies. We manufacture SUBLOCADE and SUBOXONE FILM primarily in the U.S. and therefore we do not expect these products to be directly affected by the tariffs. However, we import certain raw materials or intermediate products, including the active pharmaceutical ingredient (API) from the U.K., EU, and Australia. Also, most of our intellectual property is owned by a U.K. subsidiary and licensed within the Group. If implemented, we expect any tariff to be applied by the U.S. to have only a modest impact on both SUBLOCADE and SUBOXONE Film as we manufacture the active pharmaceutical ingredient (API) for these products at our plant in the U.K. Other impacts of the proposed tariffs remain unclear and any tariffs that would treat foreign entities that manufacturer and sell in the U.S., even to an affiliated entity could materially impact our operations. Additionally, our products move through various countries at various stages of the production cycle, and goods may move through multiple European countries, that could be subject to tariffs applied by the U.S.</w:t>
      </w:r>
    </w:p>
    <w:p>
      <w:pPr>
        <w:spacing w:after="0" w:line="132" w:lineRule="exact"/>
        <w:rPr>
          <w:sz w:val="20"/>
          <w:szCs w:val="20"/>
          <w:color w:val="auto"/>
        </w:rPr>
      </w:pPr>
    </w:p>
    <w:p>
      <w:pPr>
        <w:ind w:left="660" w:right="220" w:firstLine="645"/>
        <w:spacing w:after="0" w:line="285" w:lineRule="auto"/>
        <w:rPr>
          <w:sz w:val="20"/>
          <w:szCs w:val="20"/>
          <w:color w:val="auto"/>
        </w:rPr>
      </w:pPr>
      <w:r>
        <w:rPr>
          <w:rFonts w:ascii="Arial" w:cs="Arial" w:eastAsia="Arial" w:hAnsi="Arial"/>
          <w:sz w:val="18"/>
          <w:szCs w:val="18"/>
          <w:color w:val="auto"/>
        </w:rPr>
        <w:t>In the event the U.S. implements tariffs, we may face retaliatory tariffs levied by impacted countries. We export a significant amount of our finished products from the U.S. to Canada, Australia, the U.K., and the EU.</w:t>
      </w:r>
    </w:p>
    <w:p>
      <w:pPr>
        <w:spacing w:after="0" w:line="100" w:lineRule="exact"/>
        <w:rPr>
          <w:sz w:val="20"/>
          <w:szCs w:val="20"/>
          <w:color w:val="auto"/>
        </w:rPr>
      </w:pPr>
    </w:p>
    <w:p>
      <w:pPr>
        <w:ind w:left="660" w:right="40" w:firstLine="645"/>
        <w:spacing w:after="0" w:line="261" w:lineRule="auto"/>
        <w:rPr>
          <w:sz w:val="20"/>
          <w:szCs w:val="20"/>
          <w:color w:val="auto"/>
        </w:rPr>
      </w:pPr>
      <w:r>
        <w:rPr>
          <w:rFonts w:ascii="Arial" w:cs="Arial" w:eastAsia="Arial" w:hAnsi="Arial"/>
          <w:sz w:val="18"/>
          <w:szCs w:val="18"/>
          <w:color w:val="auto"/>
        </w:rPr>
        <w:t>We have limited ability to avoid any applicable tariffs in the short or medium term due to existing manufacturing commitments and the time needed to transfer technology and have a new manufacturing site validated by the FDA and other regulators. Our current plans to manufacture some of our requirements for SUBLOCADE at our Raleigh Manufacturing Facility beginning in late 2026 contemplate that the API would be provided by our existing U.K. plant.</w:t>
      </w:r>
    </w:p>
    <w:p>
      <w:pPr>
        <w:spacing w:after="0" w:line="121" w:lineRule="exact"/>
        <w:rPr>
          <w:sz w:val="20"/>
          <w:szCs w:val="20"/>
          <w:color w:val="auto"/>
        </w:rPr>
      </w:pPr>
    </w:p>
    <w:p>
      <w:pPr>
        <w:ind w:left="660" w:right="100" w:firstLine="645"/>
        <w:spacing w:after="0" w:line="267" w:lineRule="auto"/>
        <w:rPr>
          <w:sz w:val="20"/>
          <w:szCs w:val="20"/>
          <w:color w:val="auto"/>
        </w:rPr>
      </w:pPr>
      <w:r>
        <w:rPr>
          <w:rFonts w:ascii="Arial" w:cs="Arial" w:eastAsia="Arial" w:hAnsi="Arial"/>
          <w:sz w:val="18"/>
          <w:szCs w:val="18"/>
          <w:color w:val="auto"/>
        </w:rPr>
        <w:t>We have limited capacity to raise prices to recover costs of tariffs because, for example, the federal Inflation Reduction Act limits US pharma price increases to no greater than a certain inflation rate, and increases in excess of inflation trigger a 100%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9" w:lineRule="exact"/>
        <w:rPr>
          <w:sz w:val="20"/>
          <w:szCs w:val="20"/>
          <w:color w:val="auto"/>
        </w:rPr>
      </w:pPr>
    </w:p>
    <w:p>
      <w:pPr>
        <w:ind w:left="600" w:hanging="270"/>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69" w:lineRule="exact"/>
        <w:rPr>
          <w:rFonts w:ascii="Arial" w:cs="Arial" w:eastAsia="Arial" w:hAnsi="Arial"/>
          <w:sz w:val="18"/>
          <w:szCs w:val="18"/>
          <w:color w:val="auto"/>
        </w:rPr>
      </w:pPr>
    </w:p>
    <w:p>
      <w:pPr>
        <w:ind w:left="600" w:hanging="270"/>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69" w:lineRule="exact"/>
        <w:rPr>
          <w:rFonts w:ascii="Arial" w:cs="Arial" w:eastAsia="Arial" w:hAnsi="Arial"/>
          <w:sz w:val="18"/>
          <w:szCs w:val="18"/>
          <w:color w:val="auto"/>
        </w:rPr>
      </w:pPr>
    </w:p>
    <w:p>
      <w:pPr>
        <w:ind w:left="580" w:hanging="250"/>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Shares of common stock repurchased by the Company during the quarter ended March 31, 2025, were as follows:</w:t>
      </w:r>
    </w:p>
    <w:p>
      <w:pPr>
        <w:spacing w:after="0" w:line="195" w:lineRule="exact"/>
        <w:rPr>
          <w:sz w:val="20"/>
          <w:szCs w:val="20"/>
          <w:color w:val="auto"/>
        </w:rPr>
      </w:pPr>
    </w:p>
    <w:tbl>
      <w:tblPr>
        <w:tblLayout w:type="fixed"/>
        <w:tblInd w:w="430" w:type="dxa"/>
        <w:tblCellMar>
          <w:top w:w="0" w:type="dxa"/>
          <w:left w:w="0" w:type="dxa"/>
          <w:bottom w:w="0" w:type="dxa"/>
          <w:right w:w="0" w:type="dxa"/>
        </w:tblCellMar>
      </w:tblPr>
      <w:tr>
        <w:trPr>
          <w:trHeight w:val="236"/>
        </w:trPr>
        <w:tc>
          <w:tcPr>
            <w:tcW w:w="2300" w:type="dxa"/>
            <w:vAlign w:val="bottom"/>
            <w:tcBorders>
              <w:top w:val="single" w:sz="8" w:color="auto"/>
              <w:left w:val="single" w:sz="8" w:color="auto"/>
              <w:right w:val="single" w:sz="8" w:color="auto"/>
            </w:tcBorders>
          </w:tcPr>
          <w:p>
            <w:pPr>
              <w:spacing w:after="0"/>
              <w:rPr>
                <w:sz w:val="20"/>
                <w:szCs w:val="20"/>
                <w:color w:val="auto"/>
              </w:rPr>
            </w:pPr>
          </w:p>
        </w:tc>
        <w:tc>
          <w:tcPr>
            <w:tcW w:w="164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gridSpan w:val="2"/>
            <w:vMerge w:val="restart"/>
          </w:tcPr>
          <w:p>
            <w:pPr>
              <w:jc w:val="right"/>
              <w:ind w:right="1"/>
              <w:spacing w:after="0"/>
              <w:rPr>
                <w:sz w:val="20"/>
                <w:szCs w:val="20"/>
                <w:color w:val="auto"/>
              </w:rPr>
            </w:pPr>
            <w:r>
              <w:rPr>
                <w:rFonts w:ascii="Arial" w:cs="Arial" w:eastAsia="Arial" w:hAnsi="Arial"/>
                <w:sz w:val="18"/>
                <w:szCs w:val="18"/>
                <w:b w:val="1"/>
                <w:bCs w:val="1"/>
                <w:color w:val="auto"/>
              </w:rPr>
              <w:t>Average price</w:t>
            </w:r>
          </w:p>
        </w:tc>
        <w:tc>
          <w:tcPr>
            <w:tcW w:w="26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Total number of shares</w:t>
            </w:r>
          </w:p>
        </w:tc>
        <w:tc>
          <w:tcPr>
            <w:tcW w:w="2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Maximum number of shares</w:t>
            </w:r>
          </w:p>
        </w:tc>
        <w:tc>
          <w:tcPr>
            <w:tcW w:w="0" w:type="dxa"/>
            <w:vAlign w:val="bottom"/>
          </w:tcPr>
          <w:p>
            <w:pPr>
              <w:spacing w:after="0"/>
              <w:rPr>
                <w:sz w:val="1"/>
                <w:szCs w:val="1"/>
                <w:color w:val="auto"/>
              </w:rPr>
            </w:pPr>
          </w:p>
        </w:tc>
      </w:tr>
      <w:tr>
        <w:trPr>
          <w:trHeight w:val="107"/>
        </w:trPr>
        <w:tc>
          <w:tcPr>
            <w:tcW w:w="230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right"/>
              <w:ind w:right="53"/>
              <w:spacing w:after="0"/>
              <w:rPr>
                <w:sz w:val="20"/>
                <w:szCs w:val="20"/>
                <w:color w:val="auto"/>
              </w:rPr>
            </w:pPr>
            <w:r>
              <w:rPr>
                <w:rFonts w:ascii="Arial" w:cs="Arial" w:eastAsia="Arial" w:hAnsi="Arial"/>
                <w:sz w:val="18"/>
                <w:szCs w:val="18"/>
                <w:b w:val="1"/>
                <w:bCs w:val="1"/>
                <w:color w:val="auto"/>
              </w:rPr>
              <w:t>Total Number of</w:t>
            </w:r>
          </w:p>
        </w:tc>
        <w:tc>
          <w:tcPr>
            <w:tcW w:w="1320" w:type="dxa"/>
            <w:vAlign w:val="bottom"/>
            <w:tcBorders>
              <w:right w:val="single" w:sz="8" w:color="auto"/>
            </w:tcBorders>
            <w:gridSpan w:val="2"/>
            <w:vMerge w:val="continue"/>
          </w:tcPr>
          <w:p>
            <w:pPr>
              <w:spacing w:after="0"/>
              <w:rPr>
                <w:sz w:val="9"/>
                <w:szCs w:val="9"/>
                <w:color w:val="auto"/>
              </w:rPr>
            </w:pPr>
          </w:p>
        </w:tc>
        <w:tc>
          <w:tcPr>
            <w:tcW w:w="266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180"/>
        </w:trPr>
        <w:tc>
          <w:tcPr>
            <w:tcW w:w="230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8"/>
                <w:szCs w:val="18"/>
                <w:b w:val="1"/>
                <w:bCs w:val="1"/>
                <w:color w:val="auto"/>
              </w:rPr>
              <w:t>Period</w:t>
            </w:r>
          </w:p>
        </w:tc>
        <w:tc>
          <w:tcPr>
            <w:tcW w:w="164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gridSpan w:val="2"/>
          </w:tcPr>
          <w:p>
            <w:pPr>
              <w:jc w:val="right"/>
              <w:ind w:right="241"/>
              <w:spacing w:after="0" w:line="180" w:lineRule="exact"/>
              <w:rPr>
                <w:sz w:val="20"/>
                <w:szCs w:val="20"/>
                <w:color w:val="auto"/>
              </w:rPr>
            </w:pPr>
            <w:r>
              <w:rPr>
                <w:rFonts w:ascii="Arial" w:cs="Arial" w:eastAsia="Arial" w:hAnsi="Arial"/>
                <w:sz w:val="18"/>
                <w:szCs w:val="18"/>
                <w:b w:val="1"/>
                <w:bCs w:val="1"/>
                <w:color w:val="auto"/>
              </w:rPr>
              <w:t>paid per</w:t>
            </w:r>
          </w:p>
        </w:tc>
        <w:tc>
          <w:tcPr>
            <w:tcW w:w="266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8"/>
                <w:szCs w:val="18"/>
                <w:b w:val="1"/>
                <w:bCs w:val="1"/>
                <w:color w:val="auto"/>
                <w:w w:val="99"/>
              </w:rPr>
              <w:t>purchased as part of publicly</w:t>
            </w:r>
          </w:p>
        </w:tc>
        <w:tc>
          <w:tcPr>
            <w:tcW w:w="25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300" w:type="dxa"/>
            <w:vAlign w:val="bottom"/>
            <w:tcBorders>
              <w:left w:val="single" w:sz="8" w:color="auto"/>
              <w:right w:val="single" w:sz="8" w:color="auto"/>
            </w:tcBorders>
            <w:vMerge w:val="continue"/>
          </w:tcPr>
          <w:p>
            <w:pPr>
              <w:spacing w:after="0"/>
              <w:rPr>
                <w:sz w:val="11"/>
                <w:szCs w:val="11"/>
                <w:color w:val="auto"/>
              </w:rPr>
            </w:pPr>
          </w:p>
        </w:tc>
        <w:tc>
          <w:tcPr>
            <w:tcW w:w="1640" w:type="dxa"/>
            <w:vAlign w:val="bottom"/>
            <w:tcBorders>
              <w:right w:val="single" w:sz="8" w:color="auto"/>
            </w:tcBorders>
          </w:tcPr>
          <w:p>
            <w:pPr>
              <w:jc w:val="right"/>
              <w:spacing w:after="0" w:line="138" w:lineRule="exact"/>
              <w:rPr>
                <w:sz w:val="20"/>
                <w:szCs w:val="20"/>
                <w:color w:val="auto"/>
              </w:rPr>
            </w:pPr>
            <w:r>
              <w:rPr>
                <w:rFonts w:ascii="Arial" w:cs="Arial" w:eastAsia="Arial" w:hAnsi="Arial"/>
                <w:sz w:val="16"/>
                <w:szCs w:val="16"/>
                <w:b w:val="1"/>
                <w:bCs w:val="1"/>
                <w:color w:val="auto"/>
              </w:rPr>
              <w:t>shares purchased</w:t>
            </w:r>
          </w:p>
        </w:tc>
        <w:tc>
          <w:tcPr>
            <w:tcW w:w="820" w:type="dxa"/>
            <w:vAlign w:val="bottom"/>
            <w:vMerge w:val="restart"/>
          </w:tcPr>
          <w:p>
            <w:pPr>
              <w:ind w:left="340"/>
              <w:spacing w:after="0"/>
              <w:rPr>
                <w:sz w:val="20"/>
                <w:szCs w:val="20"/>
                <w:color w:val="auto"/>
              </w:rPr>
            </w:pPr>
            <w:r>
              <w:rPr>
                <w:rFonts w:ascii="Arial" w:cs="Arial" w:eastAsia="Arial" w:hAnsi="Arial"/>
                <w:sz w:val="18"/>
                <w:szCs w:val="18"/>
                <w:b w:val="1"/>
                <w:bCs w:val="1"/>
                <w:color w:val="auto"/>
                <w:w w:val="95"/>
              </w:rPr>
              <w:t>share</w:t>
            </w:r>
          </w:p>
        </w:tc>
        <w:tc>
          <w:tcPr>
            <w:tcW w:w="500" w:type="dxa"/>
            <w:vAlign w:val="bottom"/>
            <w:tcBorders>
              <w:right w:val="single" w:sz="8" w:color="auto"/>
            </w:tcBorders>
          </w:tcPr>
          <w:p>
            <w:pPr>
              <w:jc w:val="right"/>
              <w:ind w:right="281"/>
              <w:spacing w:after="0"/>
              <w:rPr>
                <w:sz w:val="20"/>
                <w:szCs w:val="20"/>
                <w:color w:val="auto"/>
              </w:rPr>
            </w:pPr>
            <w:r>
              <w:rPr>
                <w:rFonts w:ascii="Arial" w:cs="Arial" w:eastAsia="Arial" w:hAnsi="Arial"/>
                <w:sz w:val="12"/>
                <w:szCs w:val="12"/>
                <w:b w:val="1"/>
                <w:bCs w:val="1"/>
                <w:color w:val="auto"/>
                <w:w w:val="81"/>
              </w:rPr>
              <w:t>(2)</w:t>
            </w:r>
          </w:p>
        </w:tc>
        <w:tc>
          <w:tcPr>
            <w:tcW w:w="2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announced plans or programs</w:t>
            </w:r>
          </w:p>
        </w:tc>
        <w:tc>
          <w:tcPr>
            <w:tcW w:w="250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317"/>
        </w:trPr>
        <w:tc>
          <w:tcPr>
            <w:tcW w:w="2300" w:type="dxa"/>
            <w:vAlign w:val="bottom"/>
            <w:tcBorders>
              <w:left w:val="single" w:sz="8" w:color="auto"/>
              <w:right w:val="single" w:sz="8" w:color="auto"/>
            </w:tcBorders>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820" w:type="dxa"/>
            <w:vAlign w:val="bottom"/>
            <w:vMerge w:val="continue"/>
          </w:tcPr>
          <w:p>
            <w:pPr>
              <w:spacing w:after="0"/>
              <w:rPr>
                <w:sz w:val="24"/>
                <w:szCs w:val="24"/>
                <w:color w:val="auto"/>
              </w:rPr>
            </w:pPr>
          </w:p>
        </w:tc>
        <w:tc>
          <w:tcPr>
            <w:tcW w:w="500" w:type="dxa"/>
            <w:vAlign w:val="bottom"/>
            <w:tcBorders>
              <w:right w:val="single" w:sz="8" w:color="auto"/>
            </w:tcBorders>
          </w:tcPr>
          <w:p>
            <w:pPr>
              <w:spacing w:after="0"/>
              <w:rPr>
                <w:sz w:val="24"/>
                <w:szCs w:val="24"/>
                <w:color w:val="auto"/>
              </w:rPr>
            </w:pPr>
          </w:p>
        </w:tc>
        <w:tc>
          <w:tcPr>
            <w:tcW w:w="2660" w:type="dxa"/>
            <w:vAlign w:val="bottom"/>
            <w:tcBorders>
              <w:right w:val="single" w:sz="8" w:color="auto"/>
            </w:tcBorders>
            <w:vMerge w:val="continue"/>
          </w:tcPr>
          <w:p>
            <w:pPr>
              <w:spacing w:after="0"/>
              <w:rPr>
                <w:sz w:val="24"/>
                <w:szCs w:val="24"/>
                <w:color w:val="auto"/>
              </w:rPr>
            </w:pP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programs</w:t>
            </w:r>
            <w:r>
              <w:rPr>
                <w:rFonts w:ascii="Arial" w:cs="Arial" w:eastAsia="Arial" w:hAnsi="Arial"/>
                <w:sz w:val="23"/>
                <w:szCs w:val="23"/>
                <w:b w:val="1"/>
                <w:bCs w:val="1"/>
                <w:color w:val="auto"/>
                <w:w w:val="94"/>
                <w:vertAlign w:val="superscript"/>
              </w:rPr>
              <w:t>(3)</w:t>
            </w:r>
          </w:p>
        </w:tc>
        <w:tc>
          <w:tcPr>
            <w:tcW w:w="0" w:type="dxa"/>
            <w:vAlign w:val="bottom"/>
          </w:tcPr>
          <w:p>
            <w:pPr>
              <w:spacing w:after="0"/>
              <w:rPr>
                <w:sz w:val="1"/>
                <w:szCs w:val="1"/>
                <w:color w:val="auto"/>
              </w:rPr>
            </w:pPr>
          </w:p>
        </w:tc>
      </w:tr>
      <w:tr>
        <w:trPr>
          <w:trHeight w:val="109"/>
        </w:trPr>
        <w:tc>
          <w:tcPr>
            <w:tcW w:w="2300" w:type="dxa"/>
            <w:vAlign w:val="bottom"/>
            <w:tcBorders>
              <w:left w:val="single" w:sz="8" w:color="auto"/>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266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8"/>
        </w:trPr>
        <w:tc>
          <w:tcPr>
            <w:tcW w:w="23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Jan. 1 to Jan. 31</w:t>
            </w:r>
            <w:r>
              <w:rPr>
                <w:rFonts w:ascii="Arial" w:cs="Arial" w:eastAsia="Arial" w:hAnsi="Arial"/>
                <w:sz w:val="23"/>
                <w:szCs w:val="23"/>
                <w:color w:val="auto"/>
                <w:vertAlign w:val="superscript"/>
              </w:rPr>
              <w:t>(1)</w:t>
            </w:r>
          </w:p>
        </w:tc>
        <w:tc>
          <w:tcPr>
            <w:tcW w:w="1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886,421</w:t>
            </w:r>
          </w:p>
        </w:tc>
        <w:tc>
          <w:tcPr>
            <w:tcW w:w="1320" w:type="dxa"/>
            <w:vAlign w:val="bottom"/>
            <w:tcBorders>
              <w:righ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26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868,421</w:t>
            </w:r>
          </w:p>
        </w:tc>
        <w:tc>
          <w:tcPr>
            <w:tcW w:w="2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2,346,671</w:t>
            </w:r>
          </w:p>
        </w:tc>
        <w:tc>
          <w:tcPr>
            <w:tcW w:w="0" w:type="dxa"/>
            <w:vAlign w:val="bottom"/>
          </w:tcPr>
          <w:p>
            <w:pPr>
              <w:spacing w:after="0"/>
              <w:rPr>
                <w:sz w:val="1"/>
                <w:szCs w:val="1"/>
                <w:color w:val="auto"/>
              </w:rPr>
            </w:pPr>
          </w:p>
        </w:tc>
      </w:tr>
      <w:tr>
        <w:trPr>
          <w:trHeight w:val="115"/>
        </w:trPr>
        <w:tc>
          <w:tcPr>
            <w:tcW w:w="2300" w:type="dxa"/>
            <w:vAlign w:val="bottom"/>
            <w:tcBorders>
              <w:left w:val="single" w:sz="8" w:color="auto"/>
              <w:bottom w:val="single" w:sz="8" w:color="CCEEFF"/>
              <w:right w:val="single" w:sz="8" w:color="auto"/>
            </w:tcBorders>
            <w:shd w:val="clear" w:color="auto" w:fill="CCEEFF"/>
          </w:tcPr>
          <w:p>
            <w:pPr>
              <w:spacing w:after="0"/>
              <w:rPr>
                <w:sz w:val="10"/>
                <w:szCs w:val="10"/>
                <w:color w:val="auto"/>
              </w:rPr>
            </w:pPr>
          </w:p>
        </w:tc>
        <w:tc>
          <w:tcPr>
            <w:tcW w:w="164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1320" w:type="dxa"/>
            <w:vAlign w:val="bottom"/>
            <w:tcBorders>
              <w:bottom w:val="single" w:sz="8" w:color="CCEEFF"/>
              <w:right w:val="single" w:sz="8" w:color="auto"/>
            </w:tcBorders>
            <w:gridSpan w:val="2"/>
            <w:vMerge w:val="continue"/>
            <w:shd w:val="clear" w:color="auto" w:fill="CCEEFF"/>
          </w:tcPr>
          <w:p>
            <w:pPr>
              <w:spacing w:after="0"/>
              <w:rPr>
                <w:sz w:val="10"/>
                <w:szCs w:val="10"/>
                <w:color w:val="auto"/>
              </w:rPr>
            </w:pPr>
          </w:p>
        </w:tc>
        <w:tc>
          <w:tcPr>
            <w:tcW w:w="266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2500" w:type="dxa"/>
            <w:vAlign w:val="bottom"/>
            <w:tcBorders>
              <w:bottom w:val="single" w:sz="8" w:color="CCEEFF"/>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23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Feb. 1 to Feb. 28</w:t>
            </w:r>
            <w:r>
              <w:rPr>
                <w:rFonts w:ascii="Arial" w:cs="Arial" w:eastAsia="Arial" w:hAnsi="Arial"/>
                <w:sz w:val="23"/>
                <w:szCs w:val="23"/>
                <w:color w:val="auto"/>
                <w:vertAlign w:val="superscript"/>
              </w:rPr>
              <w:t>(4)</w:t>
            </w:r>
          </w:p>
        </w:tc>
        <w:tc>
          <w:tcPr>
            <w:tcW w:w="164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405</w:t>
            </w: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66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405</w:t>
            </w:r>
          </w:p>
        </w:tc>
        <w:tc>
          <w:tcPr>
            <w:tcW w:w="250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18"/>
                <w:szCs w:val="18"/>
                <w:color w:val="auto"/>
              </w:rPr>
              <w:t>2,346,266</w:t>
            </w:r>
          </w:p>
        </w:tc>
        <w:tc>
          <w:tcPr>
            <w:tcW w:w="0" w:type="dxa"/>
            <w:vAlign w:val="bottom"/>
          </w:tcPr>
          <w:p>
            <w:pPr>
              <w:spacing w:after="0"/>
              <w:rPr>
                <w:sz w:val="1"/>
                <w:szCs w:val="1"/>
                <w:color w:val="auto"/>
              </w:rPr>
            </w:pPr>
          </w:p>
        </w:tc>
      </w:tr>
      <w:tr>
        <w:trPr>
          <w:trHeight w:val="92"/>
        </w:trPr>
        <w:tc>
          <w:tcPr>
            <w:tcW w:w="2300" w:type="dxa"/>
            <w:vAlign w:val="bottom"/>
            <w:tcBorders>
              <w:left w:val="single" w:sz="8" w:color="auto"/>
              <w:right w:val="single" w:sz="8" w:color="auto"/>
            </w:tcBorders>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2660" w:type="dxa"/>
            <w:vAlign w:val="bottom"/>
            <w:tcBorders>
              <w:right w:val="single" w:sz="8" w:color="auto"/>
            </w:tcBorders>
            <w:vMerge w:val="continue"/>
          </w:tcPr>
          <w:p>
            <w:pPr>
              <w:spacing w:after="0"/>
              <w:rPr>
                <w:sz w:val="8"/>
                <w:szCs w:val="8"/>
                <w:color w:val="auto"/>
              </w:rPr>
            </w:pPr>
          </w:p>
        </w:tc>
        <w:tc>
          <w:tcPr>
            <w:tcW w:w="25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23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2660" w:type="dxa"/>
            <w:vAlign w:val="bottom"/>
            <w:tcBorders>
              <w:bottom w:val="single" w:sz="8" w:color="auto"/>
              <w:right w:val="single" w:sz="8" w:color="auto"/>
            </w:tcBorders>
          </w:tcPr>
          <w:p>
            <w:pPr>
              <w:spacing w:after="0" w:line="20" w:lineRule="exact"/>
              <w:rPr>
                <w:sz w:val="1"/>
                <w:szCs w:val="1"/>
                <w:color w:val="auto"/>
              </w:rPr>
            </w:pPr>
          </w:p>
        </w:tc>
        <w:tc>
          <w:tcPr>
            <w:tcW w:w="25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23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Mar. 1 to Mar. 31</w:t>
            </w:r>
            <w:r>
              <w:rPr>
                <w:rFonts w:ascii="Arial" w:cs="Arial" w:eastAsia="Arial" w:hAnsi="Arial"/>
                <w:sz w:val="23"/>
                <w:szCs w:val="23"/>
                <w:color w:val="auto"/>
                <w:vertAlign w:val="superscript"/>
              </w:rPr>
              <w:t>(4)</w:t>
            </w:r>
          </w:p>
        </w:tc>
        <w:tc>
          <w:tcPr>
            <w:tcW w:w="16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259,586</w:t>
            </w:r>
          </w:p>
        </w:tc>
        <w:tc>
          <w:tcPr>
            <w:tcW w:w="820" w:type="dxa"/>
            <w:vAlign w:val="bottom"/>
            <w:shd w:val="clear" w:color="auto" w:fill="CCEEFF"/>
          </w:tcPr>
          <w:p>
            <w:pPr>
              <w:spacing w:after="0"/>
              <w:rPr>
                <w:sz w:val="24"/>
                <w:szCs w:val="24"/>
                <w:color w:val="auto"/>
              </w:rPr>
            </w:pPr>
          </w:p>
        </w:tc>
        <w:tc>
          <w:tcPr>
            <w:tcW w:w="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6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259,586</w:t>
            </w:r>
          </w:p>
        </w:tc>
        <w:tc>
          <w:tcPr>
            <w:tcW w:w="250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2,086,680</w:t>
            </w:r>
          </w:p>
        </w:tc>
        <w:tc>
          <w:tcPr>
            <w:tcW w:w="0" w:type="dxa"/>
            <w:vAlign w:val="bottom"/>
          </w:tcPr>
          <w:p>
            <w:pPr>
              <w:spacing w:after="0"/>
              <w:rPr>
                <w:sz w:val="1"/>
                <w:szCs w:val="1"/>
                <w:color w:val="auto"/>
              </w:rPr>
            </w:pPr>
          </w:p>
        </w:tc>
      </w:tr>
      <w:tr>
        <w:trPr>
          <w:trHeight w:val="95"/>
        </w:trPr>
        <w:tc>
          <w:tcPr>
            <w:tcW w:w="2300" w:type="dxa"/>
            <w:vAlign w:val="bottom"/>
            <w:tcBorders>
              <w:left w:val="single" w:sz="8" w:color="auto"/>
              <w:bottom w:val="single" w:sz="8" w:color="CCEEFF"/>
              <w:right w:val="single" w:sz="8" w:color="auto"/>
            </w:tcBorders>
            <w:shd w:val="clear" w:color="auto" w:fill="CCEEFF"/>
          </w:tcPr>
          <w:p>
            <w:pPr>
              <w:spacing w:after="0"/>
              <w:rPr>
                <w:sz w:val="8"/>
                <w:szCs w:val="8"/>
                <w:color w:val="auto"/>
              </w:rPr>
            </w:pPr>
          </w:p>
        </w:tc>
        <w:tc>
          <w:tcPr>
            <w:tcW w:w="164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266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2500" w:type="dxa"/>
            <w:vAlign w:val="bottom"/>
            <w:tcBorders>
              <w:bottom w:val="single" w:sz="8" w:color="CCEEFF"/>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40" w:type="dxa"/>
            <w:vAlign w:val="bottom"/>
            <w:tcBorders>
              <w:right w:val="single" w:sz="8" w:color="auto"/>
            </w:tcBorders>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2660" w:type="dxa"/>
            <w:vAlign w:val="bottom"/>
            <w:tcBorders>
              <w:right w:val="single" w:sz="8" w:color="auto"/>
            </w:tcBorders>
            <w:shd w:val="clear" w:color="auto" w:fill="000000"/>
          </w:tcPr>
          <w:p>
            <w:pPr>
              <w:spacing w:after="0" w:line="20" w:lineRule="exact"/>
              <w:rPr>
                <w:sz w:val="1"/>
                <w:szCs w:val="1"/>
                <w:color w:val="auto"/>
              </w:rPr>
            </w:pPr>
          </w:p>
        </w:tc>
        <w:tc>
          <w:tcPr>
            <w:tcW w:w="25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40" w:right="240" w:hanging="333"/>
        <w:spacing w:after="0" w:line="260"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Pursuant to that fourth share repurchase program announced July 25, 2024, for an aggregate purchase price up to no more than $100 million or 13,649,017 of ordinary shares, which program concluded on January 31, 2025.</w:t>
      </w:r>
    </w:p>
    <w:p>
      <w:pPr>
        <w:spacing w:after="0" w:line="1" w:lineRule="exact"/>
        <w:rPr>
          <w:rFonts w:ascii="Arial" w:cs="Arial" w:eastAsia="Arial" w:hAnsi="Arial"/>
          <w:sz w:val="14"/>
          <w:szCs w:val="14"/>
          <w:color w:val="auto"/>
        </w:rPr>
      </w:pPr>
    </w:p>
    <w:p>
      <w:pPr>
        <w:ind w:left="340" w:hanging="333"/>
        <w:spacing w:after="0" w:line="260"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average price paid per share on the London Stock Exchange was translated to U.S. dollars using the average exchange rate for the noted periods as follows: Jan. 1 to Jan. 31 (GB£1:U.S.$1.2347), Feb. 1 to Feb. 28 (GB£1:U.S.$1.2526), and Mar. 1 to Mar. 31 (GB£1:U.S.$1.2884).</w:t>
      </w:r>
    </w:p>
    <w:p>
      <w:pPr>
        <w:ind w:left="340" w:right="80" w:hanging="333"/>
        <w:spacing w:after="0" w:line="250"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balance of shares that might be repurchased under the authority granted by shareholders at the AGM held May 9, 2024. No board authority to repurchase shares existed after January 31, 2025.</w:t>
      </w:r>
    </w:p>
    <w:p>
      <w:pPr>
        <w:ind w:left="320" w:hanging="313"/>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Reflects shares netted to pay applicable withholding taxes on the release of awards under the 2020 LTIP, 2022 LTIP, and 2023 DBP.</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9" w:lineRule="exact"/>
        <w:rPr>
          <w:sz w:val="20"/>
          <w:szCs w:val="20"/>
          <w:color w:val="auto"/>
        </w:rPr>
      </w:pPr>
    </w:p>
    <w:p>
      <w:pPr>
        <w:ind w:left="600" w:hanging="270"/>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69" w:lineRule="exact"/>
        <w:rPr>
          <w:rFonts w:ascii="Arial" w:cs="Arial" w:eastAsia="Arial" w:hAnsi="Arial"/>
          <w:sz w:val="18"/>
          <w:szCs w:val="18"/>
          <w:color w:val="auto"/>
        </w:rPr>
      </w:pPr>
    </w:p>
    <w:p>
      <w:pPr>
        <w:ind w:left="600" w:hanging="270"/>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None.</w:t>
      </w:r>
    </w:p>
    <w:p>
      <w:pPr>
        <w:spacing w:after="0" w:line="169" w:lineRule="exact"/>
        <w:rPr>
          <w:rFonts w:ascii="Arial" w:cs="Arial" w:eastAsia="Arial" w:hAnsi="Arial"/>
          <w:sz w:val="18"/>
          <w:szCs w:val="18"/>
          <w:color w:val="auto"/>
        </w:rPr>
      </w:pPr>
    </w:p>
    <w:p>
      <w:pPr>
        <w:ind w:right="140" w:firstLine="330"/>
        <w:spacing w:after="0" w:line="267" w:lineRule="auto"/>
        <w:tabs>
          <w:tab w:leader="none" w:pos="581"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our fiscal quarter ended March 31, 2025, none of our directors or officers (as defined in Rule 16a-1(f) of the Exchange Act) adopted or terminated a “Rule 10b5-1 trading arrangement” or a "non-Rule 10b5-1 trading arrangement" (as such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30" w:name="page31"/>
    <w:bookmarkEnd w:id="30"/>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20"/>
          </w:cols>
          <w:pgMar w:left="320" w:top="1440" w:right="359" w:bottom="1440" w:gutter="0" w:footer="0" w:header="0"/>
        </w:sect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 No.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44" w:lineRule="exact"/>
        <w:rPr>
          <w:sz w:val="20"/>
          <w:szCs w:val="20"/>
          <w:color w:val="auto"/>
        </w:rPr>
      </w:pPr>
    </w:p>
    <w:p>
      <w:pPr>
        <w:ind w:right="160"/>
        <w:spacing w:after="0" w:line="267" w:lineRule="auto"/>
        <w:rPr>
          <w:rFonts w:ascii="Arial" w:cs="Arial" w:eastAsia="Arial" w:hAnsi="Arial"/>
          <w:sz w:val="18"/>
          <w:szCs w:val="18"/>
          <w:color w:val="0000FF"/>
        </w:rPr>
      </w:pPr>
      <w:hyperlink r:id="rId44">
        <w:r>
          <w:rPr>
            <w:rFonts w:ascii="Arial" w:cs="Arial" w:eastAsia="Arial" w:hAnsi="Arial"/>
            <w:sz w:val="18"/>
            <w:szCs w:val="18"/>
            <w:u w:val="single" w:color="auto"/>
            <w:color w:val="0000FF"/>
          </w:rPr>
          <w:t>Memorandum and Articles of Association of Indivior PLC</w:t>
        </w:r>
        <w:r>
          <w:rPr>
            <w:rFonts w:ascii="Arial" w:cs="Arial" w:eastAsia="Arial" w:hAnsi="Arial"/>
            <w:sz w:val="18"/>
            <w:szCs w:val="18"/>
            <w:color w:val="0000FF"/>
          </w:rPr>
          <w:t xml:space="preserve"> </w:t>
        </w:r>
      </w:hyperlink>
      <w:r>
        <w:rPr>
          <w:rFonts w:ascii="Arial" w:cs="Arial" w:eastAsia="Arial" w:hAnsi="Arial"/>
          <w:sz w:val="18"/>
          <w:szCs w:val="18"/>
          <w:color w:val="000000"/>
        </w:rPr>
        <w:t>(adopted</w:t>
      </w:r>
      <w:r>
        <w:rPr>
          <w:rFonts w:ascii="Arial" w:cs="Arial" w:eastAsia="Arial" w:hAnsi="Arial"/>
          <w:sz w:val="18"/>
          <w:szCs w:val="18"/>
          <w:color w:val="0000FF"/>
        </w:rPr>
        <w:t xml:space="preserve"> </w:t>
      </w:r>
      <w:r>
        <w:rPr>
          <w:rFonts w:ascii="Arial" w:cs="Arial" w:eastAsia="Arial" w:hAnsi="Arial"/>
          <w:sz w:val="18"/>
          <w:szCs w:val="18"/>
          <w:color w:val="000000"/>
        </w:rPr>
        <w:t>by a special resolution on 30 October 2014, as</w:t>
      </w:r>
      <w:r>
        <w:rPr>
          <w:rFonts w:ascii="Arial" w:cs="Arial" w:eastAsia="Arial" w:hAnsi="Arial"/>
          <w:sz w:val="18"/>
          <w:szCs w:val="18"/>
          <w:color w:val="0000FF"/>
        </w:rPr>
        <w:t xml:space="preserve"> </w:t>
      </w:r>
      <w:r>
        <w:rPr>
          <w:rFonts w:ascii="Arial" w:cs="Arial" w:eastAsia="Arial" w:hAnsi="Arial"/>
          <w:sz w:val="18"/>
          <w:szCs w:val="18"/>
          <w:color w:val="000000"/>
        </w:rPr>
        <w:t>amended by a special resolution on 23 December 2014, 30 September 2022, and 4 May 2023, incorporated by reference to Exhibit 1.1 to registration statement on Form 20-F filed May 23, 2023).</w:t>
      </w:r>
    </w:p>
    <w:p>
      <w:pPr>
        <w:spacing w:after="0" w:line="8" w:lineRule="exact"/>
        <w:rPr>
          <w:sz w:val="20"/>
          <w:szCs w:val="20"/>
          <w:color w:val="auto"/>
        </w:rPr>
      </w:pPr>
    </w:p>
    <w:p>
      <w:pPr>
        <w:spacing w:after="0" w:line="264" w:lineRule="auto"/>
        <w:rPr>
          <w:rFonts w:ascii="Arial" w:cs="Arial" w:eastAsia="Arial" w:hAnsi="Arial"/>
          <w:sz w:val="18"/>
          <w:szCs w:val="18"/>
          <w:color w:val="0000FF"/>
        </w:rPr>
      </w:pPr>
      <w:hyperlink r:id="rId45">
        <w:r>
          <w:rPr>
            <w:rFonts w:ascii="Arial" w:cs="Arial" w:eastAsia="Arial" w:hAnsi="Arial"/>
            <w:sz w:val="18"/>
            <w:szCs w:val="18"/>
            <w:u w:val="single" w:color="auto"/>
            <w:color w:val="0000FF"/>
          </w:rPr>
          <w:t>Contingent Value Rights Agreement dated as of March 2, 2023 between Indivior, Inc., Computershare Inc. and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Computershare Trust Company, N.A.</w:t>
        </w:r>
        <w:r>
          <w:rPr>
            <w:rFonts w:ascii="Arial" w:cs="Arial" w:eastAsia="Arial" w:hAnsi="Arial"/>
            <w:sz w:val="18"/>
            <w:szCs w:val="18"/>
            <w:color w:val="0000FF"/>
          </w:rPr>
          <w:t xml:space="preserve"> </w:t>
        </w:r>
        <w:r>
          <w:rPr>
            <w:rFonts w:ascii="Arial" w:cs="Arial" w:eastAsia="Arial" w:hAnsi="Arial"/>
            <w:sz w:val="18"/>
            <w:szCs w:val="18"/>
            <w:color w:val="000000"/>
          </w:rPr>
          <w:t xml:space="preserve">(incorporated by reference to Exhibit 4.21 to registration statement on </w:t>
        </w:r>
      </w:hyperlink>
      <w:r>
        <w:rPr>
          <w:rFonts w:ascii="Arial" w:cs="Arial" w:eastAsia="Arial" w:hAnsi="Arial"/>
          <w:sz w:val="18"/>
          <w:szCs w:val="18"/>
          <w:color w:val="0000FF"/>
        </w:rPr>
        <w:t xml:space="preserve">Form </w:t>
      </w:r>
      <w:r>
        <w:rPr>
          <w:rFonts w:ascii="Arial" w:cs="Arial" w:eastAsia="Arial" w:hAnsi="Arial"/>
          <w:sz w:val="18"/>
          <w:szCs w:val="18"/>
          <w:color w:val="000000"/>
        </w:rPr>
        <w:t>20-F filed</w:t>
      </w:r>
      <w:r>
        <w:rPr>
          <w:rFonts w:ascii="Arial" w:cs="Arial" w:eastAsia="Arial" w:hAnsi="Arial"/>
          <w:sz w:val="18"/>
          <w:szCs w:val="18"/>
          <w:color w:val="0000FF"/>
        </w:rPr>
        <w:t xml:space="preserve"> </w:t>
      </w:r>
      <w:r>
        <w:rPr>
          <w:rFonts w:ascii="Arial" w:cs="Arial" w:eastAsia="Arial" w:hAnsi="Arial"/>
          <w:sz w:val="18"/>
          <w:szCs w:val="18"/>
          <w:color w:val="000000"/>
        </w:rPr>
        <w:t>May 23, 2023).</w:t>
      </w:r>
    </w:p>
    <w:p>
      <w:pPr>
        <w:spacing w:after="0" w:line="2" w:lineRule="exact"/>
        <w:rPr>
          <w:sz w:val="20"/>
          <w:szCs w:val="20"/>
          <w:color w:val="auto"/>
        </w:rPr>
      </w:pPr>
    </w:p>
    <w:p>
      <w:pPr>
        <w:sectPr>
          <w:pgSz w:w="11900" w:h="16838" w:orient="portrait"/>
          <w:cols w:equalWidth="0" w:num="2">
            <w:col w:w="780" w:space="680"/>
            <w:col w:w="9760"/>
          </w:cols>
          <w:pgMar w:left="320" w:top="1440" w:right="35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10.1*</w:t>
            </w:r>
          </w:p>
        </w:tc>
        <w:tc>
          <w:tcPr>
            <w:tcW w:w="9740" w:type="dxa"/>
            <w:vAlign w:val="bottom"/>
            <w:gridSpan w:val="5"/>
          </w:tcPr>
          <w:p>
            <w:pPr>
              <w:spacing w:after="0"/>
              <w:rPr>
                <w:rFonts w:ascii="Arial" w:cs="Arial" w:eastAsia="Arial" w:hAnsi="Arial"/>
                <w:sz w:val="18"/>
                <w:szCs w:val="18"/>
                <w:color w:val="0000FF"/>
                <w:w w:val="99"/>
              </w:rPr>
            </w:pPr>
            <w:hyperlink r:id="rId46">
              <w:r>
                <w:rPr>
                  <w:rFonts w:ascii="Arial" w:cs="Arial" w:eastAsia="Arial" w:hAnsi="Arial"/>
                  <w:sz w:val="18"/>
                  <w:szCs w:val="18"/>
                  <w:color w:val="0000FF"/>
                  <w:w w:val="99"/>
                </w:rPr>
                <w:t xml:space="preserve">Separation Agreement </w:t>
              </w:r>
            </w:hyperlink>
            <w:r>
              <w:rPr>
                <w:rFonts w:ascii="Arial" w:cs="Arial" w:eastAsia="Arial" w:hAnsi="Arial"/>
                <w:sz w:val="18"/>
                <w:szCs w:val="18"/>
                <w:color w:val="000000"/>
                <w:w w:val="99"/>
              </w:rPr>
              <w:t>by</w:t>
            </w:r>
            <w:r>
              <w:rPr>
                <w:rFonts w:ascii="Arial" w:cs="Arial" w:eastAsia="Arial" w:hAnsi="Arial"/>
                <w:sz w:val="18"/>
                <w:szCs w:val="18"/>
                <w:color w:val="0000FF"/>
                <w:w w:val="99"/>
              </w:rPr>
              <w:t xml:space="preserve"> </w:t>
            </w:r>
            <w:r>
              <w:rPr>
                <w:rFonts w:ascii="Arial" w:cs="Arial" w:eastAsia="Arial" w:hAnsi="Arial"/>
                <w:sz w:val="18"/>
                <w:szCs w:val="18"/>
                <w:color w:val="000000"/>
                <w:w w:val="99"/>
              </w:rPr>
              <w:t>and between Indivior, Inc. and Mark Crossley as of February 26, 2025, incorporated by reference</w:t>
            </w:r>
          </w:p>
        </w:tc>
      </w:tr>
      <w:tr>
        <w:trPr>
          <w:trHeight w:val="20"/>
        </w:trPr>
        <w:tc>
          <w:tcPr>
            <w:tcW w:w="144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r>
      <w:tr>
        <w:trPr>
          <w:trHeight w:val="240"/>
        </w:trPr>
        <w:tc>
          <w:tcPr>
            <w:tcW w:w="1440" w:type="dxa"/>
            <w:vAlign w:val="bottom"/>
          </w:tcPr>
          <w:p>
            <w:pPr>
              <w:spacing w:after="0"/>
              <w:rPr>
                <w:sz w:val="20"/>
                <w:szCs w:val="20"/>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to Exhibit 10.23.3 to Annual Report on Form 10-K filed March 3, 2025.</w:t>
            </w:r>
          </w:p>
        </w:tc>
      </w:tr>
      <w:tr>
        <w:trPr>
          <w:trHeight w:val="419"/>
        </w:trPr>
        <w:tc>
          <w:tcPr>
            <w:tcW w:w="1440" w:type="dxa"/>
            <w:vAlign w:val="bottom"/>
          </w:tcPr>
          <w:p>
            <w:pPr>
              <w:spacing w:after="0"/>
              <w:rPr>
                <w:sz w:val="20"/>
                <w:szCs w:val="20"/>
                <w:color w:val="auto"/>
              </w:rPr>
            </w:pPr>
            <w:r>
              <w:rPr>
                <w:rFonts w:ascii="Arial" w:cs="Arial" w:eastAsia="Arial" w:hAnsi="Arial"/>
                <w:sz w:val="18"/>
                <w:szCs w:val="18"/>
                <w:color w:val="auto"/>
              </w:rPr>
              <w:t>10.2</w:t>
            </w:r>
          </w:p>
        </w:tc>
        <w:tc>
          <w:tcPr>
            <w:tcW w:w="9740" w:type="dxa"/>
            <w:vAlign w:val="bottom"/>
            <w:gridSpan w:val="5"/>
          </w:tcPr>
          <w:p>
            <w:pPr>
              <w:spacing w:after="0"/>
              <w:rPr>
                <w:rFonts w:ascii="Arial" w:cs="Arial" w:eastAsia="Arial" w:hAnsi="Arial"/>
                <w:sz w:val="18"/>
                <w:szCs w:val="18"/>
                <w:color w:val="0000FF"/>
              </w:rPr>
            </w:pPr>
            <w:hyperlink r:id="rId47">
              <w:r>
                <w:rPr>
                  <w:rFonts w:ascii="Arial" w:cs="Arial" w:eastAsia="Arial" w:hAnsi="Arial"/>
                  <w:sz w:val="18"/>
                  <w:szCs w:val="18"/>
                  <w:color w:val="0000FF"/>
                </w:rPr>
                <w:t xml:space="preserve">Amended and Restated Relationship Agreement </w:t>
              </w:r>
            </w:hyperlink>
            <w:r>
              <w:rPr>
                <w:rFonts w:ascii="Arial" w:cs="Arial" w:eastAsia="Arial" w:hAnsi="Arial"/>
                <w:sz w:val="18"/>
                <w:szCs w:val="18"/>
                <w:color w:val="000000"/>
              </w:rPr>
              <w:t>made</w:t>
            </w:r>
            <w:r>
              <w:rPr>
                <w:rFonts w:ascii="Arial" w:cs="Arial" w:eastAsia="Arial" w:hAnsi="Arial"/>
                <w:sz w:val="18"/>
                <w:szCs w:val="18"/>
                <w:color w:val="0000FF"/>
              </w:rPr>
              <w:t xml:space="preserve"> </w:t>
            </w:r>
            <w:r>
              <w:rPr>
                <w:rFonts w:ascii="Arial" w:cs="Arial" w:eastAsia="Arial" w:hAnsi="Arial"/>
                <w:sz w:val="18"/>
                <w:szCs w:val="18"/>
                <w:color w:val="000000"/>
              </w:rPr>
              <w:t>as of March 3, 2025 by and among Indivior PLC, Oaktree Value</w:t>
            </w:r>
          </w:p>
        </w:tc>
      </w:tr>
      <w:tr>
        <w:trPr>
          <w:trHeight w:val="156"/>
        </w:trPr>
        <w:tc>
          <w:tcPr>
            <w:tcW w:w="1440" w:type="dxa"/>
            <w:vAlign w:val="bottom"/>
          </w:tcPr>
          <w:p>
            <w:pPr>
              <w:spacing w:after="0"/>
              <w:rPr>
                <w:sz w:val="13"/>
                <w:szCs w:val="13"/>
                <w:color w:val="auto"/>
              </w:rPr>
            </w:pPr>
          </w:p>
        </w:tc>
        <w:tc>
          <w:tcPr>
            <w:tcW w:w="3840" w:type="dxa"/>
            <w:vAlign w:val="bottom"/>
            <w:tcBorders>
              <w:top w:val="single" w:sz="8" w:color="0000FF"/>
            </w:tcBorders>
            <w:gridSpan w:val="4"/>
          </w:tcPr>
          <w:p>
            <w:pPr>
              <w:spacing w:after="0" w:line="156" w:lineRule="exact"/>
              <w:rPr>
                <w:sz w:val="20"/>
                <w:szCs w:val="20"/>
                <w:color w:val="auto"/>
              </w:rPr>
            </w:pPr>
            <w:r>
              <w:rPr>
                <w:rFonts w:ascii="Arial" w:cs="Arial" w:eastAsia="Arial" w:hAnsi="Arial"/>
                <w:sz w:val="18"/>
                <w:szCs w:val="18"/>
                <w:color w:val="auto"/>
                <w:w w:val="98"/>
              </w:rPr>
              <w:t>Opportunities Fund, L.P., Oaktree London Liquid</w:t>
            </w:r>
          </w:p>
        </w:tc>
        <w:tc>
          <w:tcPr>
            <w:tcW w:w="5900" w:type="dxa"/>
            <w:vAlign w:val="bottom"/>
          </w:tcPr>
          <w:p>
            <w:pPr>
              <w:ind w:left="40"/>
              <w:spacing w:after="0" w:line="156" w:lineRule="exact"/>
              <w:rPr>
                <w:sz w:val="20"/>
                <w:szCs w:val="20"/>
                <w:color w:val="auto"/>
              </w:rPr>
            </w:pPr>
            <w:r>
              <w:rPr>
                <w:rFonts w:ascii="Arial" w:cs="Arial" w:eastAsia="Arial" w:hAnsi="Arial"/>
                <w:sz w:val="18"/>
                <w:szCs w:val="18"/>
                <w:color w:val="auto"/>
                <w:w w:val="99"/>
              </w:rPr>
              <w:t>Value Opportunities Fund (VOF), L.P., Oaktree Phoenix Investment Fund,</w:t>
            </w:r>
          </w:p>
        </w:tc>
      </w:tr>
      <w:tr>
        <w:trPr>
          <w:trHeight w:val="180"/>
        </w:trPr>
        <w:tc>
          <w:tcPr>
            <w:tcW w:w="1440" w:type="dxa"/>
            <w:vAlign w:val="bottom"/>
          </w:tcPr>
          <w:p>
            <w:pPr>
              <w:spacing w:after="0"/>
              <w:rPr>
                <w:sz w:val="15"/>
                <w:szCs w:val="15"/>
                <w:color w:val="auto"/>
              </w:rPr>
            </w:pPr>
          </w:p>
        </w:tc>
        <w:tc>
          <w:tcPr>
            <w:tcW w:w="9740" w:type="dxa"/>
            <w:vAlign w:val="bottom"/>
            <w:gridSpan w:val="5"/>
          </w:tcPr>
          <w:p>
            <w:pPr>
              <w:spacing w:after="0" w:line="180" w:lineRule="exact"/>
              <w:rPr>
                <w:sz w:val="20"/>
                <w:szCs w:val="20"/>
                <w:color w:val="auto"/>
              </w:rPr>
            </w:pPr>
            <w:r>
              <w:rPr>
                <w:rFonts w:ascii="Arial" w:cs="Arial" w:eastAsia="Arial" w:hAnsi="Arial"/>
                <w:sz w:val="18"/>
                <w:szCs w:val="18"/>
                <w:color w:val="auto"/>
              </w:rPr>
              <w:t>L.P. and Boston Patriot Arlington ST LLC, incorporated by reference to Exhibit 10.1 to Current Report on Form 8-K filed</w:t>
            </w:r>
          </w:p>
        </w:tc>
      </w:tr>
      <w:tr>
        <w:trPr>
          <w:trHeight w:val="223"/>
        </w:trPr>
        <w:tc>
          <w:tcPr>
            <w:tcW w:w="1440" w:type="dxa"/>
            <w:vAlign w:val="bottom"/>
          </w:tcPr>
          <w:p>
            <w:pPr>
              <w:spacing w:after="0"/>
              <w:rPr>
                <w:sz w:val="19"/>
                <w:szCs w:val="19"/>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March 4, 2025.</w:t>
            </w:r>
          </w:p>
        </w:tc>
      </w:tr>
      <w:tr>
        <w:trPr>
          <w:trHeight w:val="187"/>
        </w:trPr>
        <w:tc>
          <w:tcPr>
            <w:tcW w:w="1440" w:type="dxa"/>
            <w:vAlign w:val="bottom"/>
          </w:tcPr>
          <w:p>
            <w:pPr>
              <w:spacing w:after="0" w:line="180" w:lineRule="exact"/>
              <w:rPr>
                <w:sz w:val="20"/>
                <w:szCs w:val="20"/>
                <w:color w:val="auto"/>
              </w:rPr>
            </w:pPr>
            <w:r>
              <w:rPr>
                <w:rFonts w:ascii="Arial" w:cs="Arial" w:eastAsia="Arial" w:hAnsi="Arial"/>
                <w:sz w:val="18"/>
                <w:szCs w:val="18"/>
                <w:color w:val="auto"/>
              </w:rPr>
              <w:t>10.3*</w:t>
            </w:r>
          </w:p>
        </w:tc>
        <w:tc>
          <w:tcPr>
            <w:tcW w:w="9740" w:type="dxa"/>
            <w:vAlign w:val="bottom"/>
            <w:gridSpan w:val="5"/>
          </w:tcPr>
          <w:p>
            <w:pPr>
              <w:spacing w:after="0" w:line="180"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 xml:space="preserve">Employment Agreement </w:t>
              </w:r>
            </w:hyperlink>
            <w:r>
              <w:rPr>
                <w:rFonts w:ascii="Arial" w:cs="Arial" w:eastAsia="Arial" w:hAnsi="Arial"/>
                <w:sz w:val="18"/>
                <w:szCs w:val="18"/>
                <w:color w:val="000000"/>
                <w:w w:val="99"/>
              </w:rPr>
              <w:t>with</w:t>
            </w:r>
            <w:r>
              <w:rPr>
                <w:rFonts w:ascii="Arial" w:cs="Arial" w:eastAsia="Arial" w:hAnsi="Arial"/>
                <w:sz w:val="18"/>
                <w:szCs w:val="18"/>
                <w:color w:val="0000FF"/>
                <w:w w:val="99"/>
              </w:rPr>
              <w:t xml:space="preserve"> </w:t>
            </w:r>
            <w:r>
              <w:rPr>
                <w:rFonts w:ascii="Arial" w:cs="Arial" w:eastAsia="Arial" w:hAnsi="Arial"/>
                <w:sz w:val="18"/>
                <w:szCs w:val="18"/>
                <w:color w:val="000000"/>
                <w:w w:val="99"/>
              </w:rPr>
              <w:t>Joe Ciaffoni made March 3, 2025, incorporated by reference to Exhibit 10.2 to Current Report</w:t>
            </w:r>
          </w:p>
        </w:tc>
      </w:tr>
      <w:tr>
        <w:trPr>
          <w:trHeight w:val="210"/>
        </w:trPr>
        <w:tc>
          <w:tcPr>
            <w:tcW w:w="1440" w:type="dxa"/>
            <w:vAlign w:val="bottom"/>
          </w:tcPr>
          <w:p>
            <w:pPr>
              <w:spacing w:after="0"/>
              <w:rPr>
                <w:sz w:val="18"/>
                <w:szCs w:val="18"/>
                <w:color w:val="auto"/>
              </w:rPr>
            </w:pPr>
          </w:p>
        </w:tc>
        <w:tc>
          <w:tcPr>
            <w:tcW w:w="19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98"/>
              </w:rPr>
              <w:t>on Form 8-K filed March</w:t>
            </w:r>
          </w:p>
        </w:tc>
        <w:tc>
          <w:tcPr>
            <w:tcW w:w="1060" w:type="dxa"/>
            <w:vAlign w:val="bottom"/>
          </w:tcPr>
          <w:p>
            <w:pPr>
              <w:jc w:val="right"/>
              <w:ind w:right="270"/>
              <w:spacing w:after="0"/>
              <w:rPr>
                <w:sz w:val="20"/>
                <w:szCs w:val="20"/>
                <w:color w:val="auto"/>
              </w:rPr>
            </w:pPr>
            <w:r>
              <w:rPr>
                <w:rFonts w:ascii="Arial" w:cs="Arial" w:eastAsia="Arial" w:hAnsi="Arial"/>
                <w:sz w:val="18"/>
                <w:szCs w:val="18"/>
                <w:color w:val="auto"/>
              </w:rPr>
              <w:t>4, 2025.</w:t>
            </w:r>
          </w:p>
        </w:tc>
        <w:tc>
          <w:tcPr>
            <w:tcW w:w="6760" w:type="dxa"/>
            <w:vAlign w:val="bottom"/>
            <w:gridSpan w:val="2"/>
          </w:tcPr>
          <w:p>
            <w:pPr>
              <w:spacing w:after="0"/>
              <w:rPr>
                <w:sz w:val="18"/>
                <w:szCs w:val="18"/>
                <w:color w:val="auto"/>
              </w:rPr>
            </w:pPr>
          </w:p>
        </w:tc>
      </w:tr>
      <w:tr>
        <w:trPr>
          <w:trHeight w:val="194"/>
        </w:trPr>
        <w:tc>
          <w:tcPr>
            <w:tcW w:w="1440" w:type="dxa"/>
            <w:vAlign w:val="bottom"/>
          </w:tcPr>
          <w:p>
            <w:pPr>
              <w:spacing w:after="0" w:line="194" w:lineRule="exact"/>
              <w:rPr>
                <w:sz w:val="20"/>
                <w:szCs w:val="20"/>
                <w:color w:val="auto"/>
              </w:rPr>
            </w:pPr>
            <w:r>
              <w:rPr>
                <w:rFonts w:ascii="Arial" w:cs="Arial" w:eastAsia="Arial" w:hAnsi="Arial"/>
                <w:sz w:val="18"/>
                <w:szCs w:val="18"/>
                <w:color w:val="auto"/>
              </w:rPr>
              <w:t>31.1#</w:t>
            </w:r>
          </w:p>
        </w:tc>
        <w:tc>
          <w:tcPr>
            <w:tcW w:w="9740" w:type="dxa"/>
            <w:vAlign w:val="bottom"/>
            <w:gridSpan w:val="5"/>
          </w:tcPr>
          <w:p>
            <w:pPr>
              <w:spacing w:after="0" w:line="194" w:lineRule="exact"/>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under Section 302 of the Sarbanes-Oxley Act of 2002.</w:t>
            </w: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3"/>
            <w:shd w:val="clear" w:color="auto" w:fill="0000FF"/>
          </w:tcPr>
          <w:p>
            <w:pPr>
              <w:spacing w:after="0" w:line="20" w:lineRule="exact"/>
              <w:rPr>
                <w:sz w:val="1"/>
                <w:szCs w:val="1"/>
                <w:color w:val="auto"/>
              </w:rPr>
            </w:pPr>
          </w:p>
        </w:tc>
        <w:tc>
          <w:tcPr>
            <w:tcW w:w="6760" w:type="dxa"/>
            <w:vAlign w:val="bottom"/>
            <w:tcBorders>
              <w:left w:val="single" w:sz="8" w:color="0000FF"/>
            </w:tcBorders>
            <w:gridSpan w:val="2"/>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rPr>
              <w:t>under Section 302 of the Sarbanes-Oxley Act of 2002.</w:t>
            </w: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3"/>
            <w:shd w:val="clear" w:color="auto" w:fill="0000FF"/>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32.1</w:t>
            </w:r>
            <w:r>
              <w:rPr>
                <w:rFonts w:ascii="Arial" w:cs="Arial" w:eastAsia="Arial" w:hAnsi="Arial"/>
                <w:sz w:val="14"/>
                <w:szCs w:val="14"/>
                <w:color w:val="auto"/>
              </w:rPr>
              <w:t>†</w:t>
            </w:r>
          </w:p>
        </w:tc>
        <w:tc>
          <w:tcPr>
            <w:tcW w:w="974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Executive Officer </w:t>
            </w:r>
            <w:r>
              <w:rPr>
                <w:rFonts w:ascii="Arial" w:cs="Arial" w:eastAsia="Arial" w:hAnsi="Arial"/>
                <w:sz w:val="18"/>
                <w:szCs w:val="18"/>
                <w:color w:val="000000"/>
              </w:rPr>
              <w:t>under Section 906 of the Sarbanes-Oxley Act of 2002.</w:t>
            </w:r>
          </w:p>
        </w:tc>
      </w:tr>
      <w:tr>
        <w:trPr>
          <w:trHeight w:val="20"/>
        </w:trPr>
        <w:tc>
          <w:tcPr>
            <w:tcW w:w="1440" w:type="dxa"/>
            <w:vAlign w:val="bottom"/>
          </w:tcPr>
          <w:p>
            <w:pPr>
              <w:spacing w:after="0" w:line="20" w:lineRule="exact"/>
              <w:rPr>
                <w:sz w:val="1"/>
                <w:szCs w:val="1"/>
                <w:color w:val="auto"/>
              </w:rPr>
            </w:pPr>
          </w:p>
        </w:tc>
        <w:tc>
          <w:tcPr>
            <w:tcW w:w="2980" w:type="dxa"/>
            <w:vAlign w:val="bottom"/>
            <w:tcBorders>
              <w:right w:val="single" w:sz="8" w:color="0000FF"/>
            </w:tcBorders>
            <w:gridSpan w:val="3"/>
            <w:shd w:val="clear" w:color="auto" w:fill="0000FF"/>
          </w:tcPr>
          <w:p>
            <w:pPr>
              <w:spacing w:after="0" w:line="20" w:lineRule="exact"/>
              <w:rPr>
                <w:sz w:val="1"/>
                <w:szCs w:val="1"/>
                <w:color w:val="auto"/>
              </w:rPr>
            </w:pPr>
          </w:p>
        </w:tc>
        <w:tc>
          <w:tcPr>
            <w:tcW w:w="6760" w:type="dxa"/>
            <w:vAlign w:val="bottom"/>
            <w:tcBorders>
              <w:left w:val="single" w:sz="8" w:color="0000FF"/>
            </w:tcBorders>
            <w:gridSpan w:val="2"/>
          </w:tcPr>
          <w:p>
            <w:pPr>
              <w:spacing w:after="0" w:line="20" w:lineRule="exact"/>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32.2</w:t>
            </w:r>
            <w:r>
              <w:rPr>
                <w:rFonts w:ascii="Arial" w:cs="Arial" w:eastAsia="Arial" w:hAnsi="Arial"/>
                <w:sz w:val="14"/>
                <w:szCs w:val="14"/>
                <w:color w:val="auto"/>
              </w:rPr>
              <w:t>†</w:t>
            </w:r>
          </w:p>
        </w:tc>
        <w:tc>
          <w:tcPr>
            <w:tcW w:w="9740" w:type="dxa"/>
            <w:vAlign w:val="bottom"/>
            <w:gridSpan w:val="5"/>
          </w:tcPr>
          <w:p>
            <w:pPr>
              <w:spacing w:after="0"/>
              <w:rPr>
                <w:sz w:val="20"/>
                <w:szCs w:val="20"/>
                <w:color w:val="auto"/>
              </w:rPr>
            </w:pPr>
            <w:r>
              <w:rPr>
                <w:rFonts w:ascii="Arial" w:cs="Arial" w:eastAsia="Arial" w:hAnsi="Arial"/>
                <w:sz w:val="18"/>
                <w:szCs w:val="18"/>
                <w:color w:val="0000FF"/>
              </w:rPr>
              <w:t xml:space="preserve">Certification of Chief Financial Officer </w:t>
            </w:r>
            <w:r>
              <w:rPr>
                <w:rFonts w:ascii="Arial" w:cs="Arial" w:eastAsia="Arial" w:hAnsi="Arial"/>
                <w:sz w:val="18"/>
                <w:szCs w:val="18"/>
                <w:color w:val="000000"/>
              </w:rPr>
              <w:t>under Section 906 of the Sarbanes-Oxley Act of 2002.</w:t>
            </w:r>
          </w:p>
        </w:tc>
      </w:tr>
      <w:tr>
        <w:trPr>
          <w:trHeight w:val="243"/>
        </w:trPr>
        <w:tc>
          <w:tcPr>
            <w:tcW w:w="1440" w:type="dxa"/>
            <w:vAlign w:val="bottom"/>
          </w:tcPr>
          <w:p>
            <w:pPr>
              <w:spacing w:after="0"/>
              <w:rPr>
                <w:sz w:val="20"/>
                <w:szCs w:val="20"/>
                <w:color w:val="auto"/>
              </w:rPr>
            </w:pPr>
            <w:r>
              <w:rPr>
                <w:rFonts w:ascii="Arial" w:cs="Arial" w:eastAsia="Arial" w:hAnsi="Arial"/>
                <w:sz w:val="18"/>
                <w:szCs w:val="18"/>
                <w:color w:val="auto"/>
              </w:rPr>
              <w:t>101.1#</w:t>
            </w:r>
          </w:p>
        </w:tc>
        <w:tc>
          <w:tcPr>
            <w:tcW w:w="298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Inline Interactive Data File</w:t>
            </w:r>
          </w:p>
        </w:tc>
        <w:tc>
          <w:tcPr>
            <w:tcW w:w="6760" w:type="dxa"/>
            <w:vAlign w:val="bottom"/>
            <w:gridSpan w:val="2"/>
          </w:tcPr>
          <w:p>
            <w:pPr>
              <w:spacing w:after="0"/>
              <w:rPr>
                <w:sz w:val="21"/>
                <w:szCs w:val="21"/>
                <w:color w:val="auto"/>
              </w:rPr>
            </w:pPr>
          </w:p>
        </w:tc>
      </w:tr>
      <w:tr>
        <w:trPr>
          <w:trHeight w:val="180"/>
        </w:trPr>
        <w:tc>
          <w:tcPr>
            <w:tcW w:w="1440" w:type="dxa"/>
            <w:vAlign w:val="bottom"/>
          </w:tcPr>
          <w:p>
            <w:pPr>
              <w:spacing w:after="0" w:line="180" w:lineRule="exact"/>
              <w:rPr>
                <w:sz w:val="20"/>
                <w:szCs w:val="20"/>
                <w:color w:val="auto"/>
              </w:rPr>
            </w:pPr>
            <w:r>
              <w:rPr>
                <w:rFonts w:ascii="Arial" w:cs="Arial" w:eastAsia="Arial" w:hAnsi="Arial"/>
                <w:sz w:val="18"/>
                <w:szCs w:val="18"/>
                <w:color w:val="auto"/>
              </w:rPr>
              <w:t>101.INS#</w:t>
            </w:r>
          </w:p>
        </w:tc>
        <w:tc>
          <w:tcPr>
            <w:tcW w:w="9740" w:type="dxa"/>
            <w:vAlign w:val="bottom"/>
            <w:gridSpan w:val="5"/>
          </w:tcPr>
          <w:p>
            <w:pPr>
              <w:spacing w:after="0" w:line="180" w:lineRule="exact"/>
              <w:rPr>
                <w:sz w:val="20"/>
                <w:szCs w:val="20"/>
                <w:color w:val="auto"/>
              </w:rPr>
            </w:pPr>
            <w:r>
              <w:rPr>
                <w:rFonts w:ascii="Arial" w:cs="Arial" w:eastAsia="Arial" w:hAnsi="Arial"/>
                <w:sz w:val="18"/>
                <w:szCs w:val="18"/>
                <w:color w:val="auto"/>
              </w:rPr>
              <w:t>Inline XBRL Instance Document—this instance document does not appear in the Interactive Data File because XBRL tags</w:t>
            </w:r>
          </w:p>
        </w:tc>
      </w:tr>
      <w:tr>
        <w:trPr>
          <w:trHeight w:val="236"/>
        </w:trPr>
        <w:tc>
          <w:tcPr>
            <w:tcW w:w="1440" w:type="dxa"/>
            <w:vAlign w:val="bottom"/>
          </w:tcPr>
          <w:p>
            <w:pPr>
              <w:spacing w:after="0"/>
              <w:rPr>
                <w:sz w:val="20"/>
                <w:szCs w:val="20"/>
                <w:color w:val="auto"/>
              </w:rPr>
            </w:pPr>
          </w:p>
        </w:tc>
        <w:tc>
          <w:tcPr>
            <w:tcW w:w="9740" w:type="dxa"/>
            <w:vAlign w:val="bottom"/>
            <w:gridSpan w:val="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8"/>
        </w:trPr>
        <w:tc>
          <w:tcPr>
            <w:tcW w:w="144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8"/>
        </w:trPr>
        <w:tc>
          <w:tcPr>
            <w:tcW w:w="1440" w:type="dxa"/>
            <w:vAlign w:val="bottom"/>
          </w:tcPr>
          <w:p>
            <w:pPr>
              <w:spacing w:after="0"/>
              <w:rPr>
                <w:sz w:val="20"/>
                <w:szCs w:val="20"/>
                <w:color w:val="auto"/>
              </w:rPr>
            </w:pPr>
            <w:r>
              <w:rPr>
                <w:rFonts w:ascii="Arial" w:cs="Arial" w:eastAsia="Arial" w:hAnsi="Arial"/>
                <w:sz w:val="18"/>
                <w:szCs w:val="18"/>
                <w:color w:val="auto"/>
              </w:rPr>
              <w:t>104#</w:t>
            </w:r>
          </w:p>
        </w:tc>
        <w:tc>
          <w:tcPr>
            <w:tcW w:w="9740" w:type="dxa"/>
            <w:vAlign w:val="bottom"/>
            <w:gridSpan w:val="5"/>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4" w:lineRule="exact"/>
        <w:rPr>
          <w:sz w:val="20"/>
          <w:szCs w:val="20"/>
          <w:color w:val="auto"/>
        </w:rPr>
      </w:pPr>
    </w:p>
    <w:p>
      <w:pPr>
        <w:ind w:left="320" w:hanging="313"/>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Management Contract</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1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175260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1" w:name="page32"/>
    <w:bookmarkEnd w:id="31"/>
    <w:p>
      <w:pPr>
        <w:spacing w:after="0" w:line="13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firstLine="323"/>
        <w:spacing w:after="0" w:line="28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INDIVIOR PLC (Registrant)</w:t>
      </w:r>
    </w:p>
    <w:p>
      <w:pPr>
        <w:spacing w:after="0" w:line="169"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By: /s/ Ryan Preblick</w:t>
      </w:r>
    </w:p>
    <w:p>
      <w:pPr>
        <w:spacing w:after="0" w:line="6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Ryan Preblick, Chief Financial Officer</w:t>
      </w:r>
    </w:p>
    <w:p>
      <w:pPr>
        <w:spacing w:after="0" w:line="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(Principal Financial Officer)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May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320" w:top="1440" w:right="419" w:bottom="1440" w:gutter="0" w:footer="0" w:header="0"/>
        </w:sectPr>
      </w:pPr>
    </w:p>
    <w:bookmarkStart w:id="32" w:name="page33"/>
    <w:bookmarkEnd w:id="3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31.1</w:t>
      </w:r>
    </w:p>
    <w:p>
      <w:pPr>
        <w:spacing w:after="0" w:line="240"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0"/>
          <w:szCs w:val="20"/>
          <w:b w:val="1"/>
          <w:bCs w:val="1"/>
          <w:color w:val="auto"/>
        </w:rPr>
        <w:t>CERTIFICATION OF CHIEF EXECUTIVE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PURSUANT TO RULES 13a-14(A) AND 15d-14(A)</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 Mark Crossley, certify that:</w:t>
      </w:r>
    </w:p>
    <w:p>
      <w:pPr>
        <w:spacing w:after="0" w:line="173" w:lineRule="exact"/>
        <w:rPr>
          <w:sz w:val="20"/>
          <w:szCs w:val="20"/>
          <w:color w:val="auto"/>
        </w:rPr>
      </w:pPr>
    </w:p>
    <w:p>
      <w:pPr>
        <w:ind w:left="840" w:hanging="188"/>
        <w:spacing w:after="0"/>
        <w:tabs>
          <w:tab w:leader="none" w:pos="8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Indivior PLC;</w:t>
      </w:r>
    </w:p>
    <w:p>
      <w:pPr>
        <w:spacing w:after="0" w:line="186" w:lineRule="exact"/>
        <w:rPr>
          <w:rFonts w:ascii="Times New Roman" w:cs="Times New Roman" w:eastAsia="Times New Roman" w:hAnsi="Times New Roman"/>
          <w:sz w:val="20"/>
          <w:szCs w:val="20"/>
          <w:color w:val="auto"/>
        </w:rPr>
      </w:pPr>
    </w:p>
    <w:p>
      <w:pPr>
        <w:ind w:firstLine="652"/>
        <w:spacing w:after="0" w:line="287" w:lineRule="auto"/>
        <w:tabs>
          <w:tab w:leader="none" w:pos="84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20"/>
          <w:szCs w:val="20"/>
          <w:color w:val="auto"/>
        </w:rPr>
      </w:pPr>
    </w:p>
    <w:p>
      <w:pPr>
        <w:ind w:left="840" w:hanging="188"/>
        <w:spacing w:after="0"/>
        <w:tabs>
          <w:tab w:leader="none" w:pos="8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w:t>
      </w:r>
    </w:p>
    <w:p>
      <w:pPr>
        <w:spacing w:after="0" w:line="39"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20"/>
          <w:szCs w:val="20"/>
          <w:color w:val="auto"/>
        </w:rPr>
        <w:t>all material respects the financial condition, results of operations and cash flows of the registrant as of, and for, the periods presented in this report;</w:t>
      </w:r>
    </w:p>
    <w:p>
      <w:pPr>
        <w:spacing w:after="0" w:line="106" w:lineRule="exact"/>
        <w:rPr>
          <w:sz w:val="20"/>
          <w:szCs w:val="20"/>
          <w:color w:val="auto"/>
        </w:rPr>
      </w:pPr>
    </w:p>
    <w:p>
      <w:pPr>
        <w:jc w:val="both"/>
        <w:ind w:right="820" w:firstLine="652"/>
        <w:spacing w:after="0" w:line="287" w:lineRule="auto"/>
        <w:tabs>
          <w:tab w:leader="none" w:pos="84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20"/>
          <w:szCs w:val="20"/>
          <w:color w:val="auto"/>
        </w:rPr>
      </w:pPr>
    </w:p>
    <w:p>
      <w:pPr>
        <w:ind w:left="660" w:right="480" w:firstLine="637"/>
        <w:spacing w:after="0" w:line="316" w:lineRule="auto"/>
        <w:tabs>
          <w:tab w:leader="none" w:pos="1491"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9"/>
          <w:szCs w:val="19"/>
          <w:color w:val="auto"/>
        </w:rPr>
      </w:pPr>
    </w:p>
    <w:p>
      <w:pPr>
        <w:ind w:left="660" w:right="440" w:firstLine="637"/>
        <w:spacing w:after="0" w:line="287" w:lineRule="auto"/>
        <w:tabs>
          <w:tab w:leader="none" w:pos="150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20"/>
          <w:szCs w:val="20"/>
          <w:color w:val="auto"/>
        </w:rPr>
      </w:pPr>
    </w:p>
    <w:p>
      <w:pPr>
        <w:ind w:left="660" w:right="480" w:firstLine="637"/>
        <w:spacing w:after="0" w:line="287" w:lineRule="auto"/>
        <w:tabs>
          <w:tab w:leader="none" w:pos="1491"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20"/>
          <w:szCs w:val="20"/>
          <w:color w:val="auto"/>
        </w:rPr>
      </w:pPr>
    </w:p>
    <w:p>
      <w:pPr>
        <w:ind w:left="660" w:right="640" w:firstLine="637"/>
        <w:spacing w:after="0" w:line="309" w:lineRule="auto"/>
        <w:tabs>
          <w:tab w:leader="none" w:pos="1502"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9"/>
          <w:szCs w:val="19"/>
          <w:color w:val="auto"/>
        </w:rPr>
      </w:pPr>
    </w:p>
    <w:p>
      <w:pPr>
        <w:ind w:right="560" w:firstLine="652"/>
        <w:spacing w:after="0" w:line="295" w:lineRule="auto"/>
        <w:tabs>
          <w:tab w:leader="none" w:pos="84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w:t>
      </w:r>
    </w:p>
    <w:p>
      <w:pPr>
        <w:sectPr>
          <w:pgSz w:w="11900" w:h="16838" w:orient="portrait"/>
          <w:cols w:equalWidth="0" w:num="1">
            <w:col w:w="11120"/>
          </w:cols>
          <w:pgMar w:left="320" w:top="1440" w:right="459" w:bottom="1440" w:gutter="0" w:footer="0" w:header="0"/>
        </w:sectPr>
      </w:pPr>
    </w:p>
    <w:bookmarkStart w:id="33" w:name="page34"/>
    <w:bookmarkEnd w:id="33"/>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audit committee of the registrant's board of directors (or persons performing the equivalent functions):</w:t>
      </w:r>
    </w:p>
    <w:p>
      <w:pPr>
        <w:spacing w:after="0" w:line="173" w:lineRule="exact"/>
        <w:rPr>
          <w:sz w:val="20"/>
          <w:szCs w:val="20"/>
          <w:color w:val="auto"/>
        </w:rPr>
      </w:pPr>
    </w:p>
    <w:p>
      <w:pPr>
        <w:ind w:left="660" w:right="360" w:firstLine="645"/>
        <w:spacing w:after="0" w:line="287" w:lineRule="auto"/>
        <w:rPr>
          <w:sz w:val="20"/>
          <w:szCs w:val="20"/>
          <w:color w:val="auto"/>
        </w:rPr>
      </w:pPr>
      <w:r>
        <w:rPr>
          <w:rFonts w:ascii="Times New Roman" w:cs="Times New Roman" w:eastAsia="Times New Roman" w:hAnsi="Times New Roman"/>
          <w:sz w:val="20"/>
          <w:szCs w:val="20"/>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sz w:val="20"/>
          <w:szCs w:val="20"/>
          <w:color w:val="auto"/>
        </w:rPr>
      </w:pPr>
    </w:p>
    <w:p>
      <w:pPr>
        <w:ind w:left="660" w:firstLine="645"/>
        <w:spacing w:after="0" w:line="295" w:lineRule="auto"/>
        <w:rPr>
          <w:sz w:val="20"/>
          <w:szCs w:val="20"/>
          <w:color w:val="auto"/>
        </w:rPr>
      </w:pPr>
      <w:r>
        <w:rPr>
          <w:rFonts w:ascii="Times New Roman" w:cs="Times New Roman" w:eastAsia="Times New Roman" w:hAnsi="Times New Roman"/>
          <w:sz w:val="20"/>
          <w:szCs w:val="20"/>
          <w:color w:val="auto"/>
        </w:rPr>
        <w:t>b. Any fraud, whether or not material, that involves management or other employees who have a significant role in the registrant's internal control over financial reporting.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 2025</w:t>
      </w:r>
    </w:p>
    <w:p>
      <w:pPr>
        <w:spacing w:after="0" w:line="2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Mark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Crossley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25400</wp:posOffset>
            </wp:positionV>
            <wp:extent cx="963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963930" cy="8255"/>
                    </a:xfrm>
                    <a:prstGeom prst="rect">
                      <a:avLst/>
                    </a:prstGeom>
                    <a:noFill/>
                  </pic:spPr>
                </pic:pic>
              </a:graphicData>
            </a:graphic>
          </wp:anchor>
        </w:drawing>
      </w:r>
    </w:p>
    <w:p>
      <w:pPr>
        <w:spacing w:after="0" w:line="3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Mark</w:t>
      </w:r>
    </w:p>
    <w:p>
      <w:pPr>
        <w:spacing w:after="0" w:line="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Crossley,</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Chief</w:t>
      </w:r>
    </w:p>
    <w:p>
      <w:pPr>
        <w:spacing w:after="0" w:line="1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Executive</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0640"/>
          </w:cols>
          <w:pgMar w:left="320" w:top="1440" w:right="939" w:bottom="1440" w:gutter="0" w:footer="0" w:header="0"/>
        </w:sectPr>
      </w:pPr>
    </w:p>
    <w:bookmarkStart w:id="34" w:name="page35"/>
    <w:bookmarkEnd w:id="34"/>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Exhibit 31.2</w:t>
      </w:r>
    </w:p>
    <w:p>
      <w:pPr>
        <w:spacing w:after="0" w:line="240"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0"/>
          <w:szCs w:val="20"/>
          <w:b w:val="1"/>
          <w:bCs w:val="1"/>
          <w:color w:val="auto"/>
        </w:rPr>
        <w:t>CERTIFICATION OF CHIEF FINANCIAL OFFICER</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PURSUANT TO RULES 13a-14(A) AND 15d-14(A)</w:t>
      </w:r>
    </w:p>
    <w:p>
      <w:pPr>
        <w:spacing w:after="0" w:line="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color w:val="auto"/>
        </w:rPr>
        <w:t>I, Ryan Preblick, certify that:</w:t>
      </w:r>
    </w:p>
    <w:p>
      <w:pPr>
        <w:spacing w:after="0" w:line="173" w:lineRule="exact"/>
        <w:rPr>
          <w:sz w:val="20"/>
          <w:szCs w:val="20"/>
          <w:color w:val="auto"/>
        </w:rPr>
      </w:pPr>
    </w:p>
    <w:p>
      <w:pPr>
        <w:ind w:left="840" w:hanging="188"/>
        <w:spacing w:after="0"/>
        <w:tabs>
          <w:tab w:leader="none" w:pos="8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Indivior PLC;</w:t>
      </w:r>
    </w:p>
    <w:p>
      <w:pPr>
        <w:spacing w:after="0" w:line="186" w:lineRule="exact"/>
        <w:rPr>
          <w:rFonts w:ascii="Times New Roman" w:cs="Times New Roman" w:eastAsia="Times New Roman" w:hAnsi="Times New Roman"/>
          <w:sz w:val="20"/>
          <w:szCs w:val="20"/>
          <w:color w:val="auto"/>
        </w:rPr>
      </w:pPr>
    </w:p>
    <w:p>
      <w:pPr>
        <w:ind w:right="160" w:firstLine="652"/>
        <w:spacing w:after="0" w:line="287" w:lineRule="auto"/>
        <w:tabs>
          <w:tab w:leader="none" w:pos="84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Times New Roman" w:cs="Times New Roman" w:eastAsia="Times New Roman" w:hAnsi="Times New Roman"/>
          <w:sz w:val="20"/>
          <w:szCs w:val="20"/>
          <w:color w:val="auto"/>
        </w:rPr>
      </w:pPr>
    </w:p>
    <w:p>
      <w:pPr>
        <w:ind w:right="20" w:firstLine="652"/>
        <w:spacing w:after="0" w:line="287" w:lineRule="auto"/>
        <w:tabs>
          <w:tab w:leader="none" w:pos="84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Times New Roman" w:cs="Times New Roman" w:eastAsia="Times New Roman" w:hAnsi="Times New Roman"/>
          <w:sz w:val="20"/>
          <w:szCs w:val="20"/>
          <w:color w:val="auto"/>
        </w:rPr>
      </w:pPr>
    </w:p>
    <w:p>
      <w:pPr>
        <w:jc w:val="both"/>
        <w:ind w:right="380" w:firstLine="652"/>
        <w:spacing w:after="0" w:line="287" w:lineRule="auto"/>
        <w:tabs>
          <w:tab w:leader="none" w:pos="84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20"/>
          <w:szCs w:val="20"/>
          <w:color w:val="auto"/>
        </w:rPr>
      </w:pPr>
    </w:p>
    <w:p>
      <w:pPr>
        <w:ind w:left="660" w:right="40" w:firstLine="637"/>
        <w:spacing w:after="0" w:line="316" w:lineRule="auto"/>
        <w:tabs>
          <w:tab w:leader="none" w:pos="1491"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Times New Roman" w:cs="Times New Roman" w:eastAsia="Times New Roman" w:hAnsi="Times New Roman"/>
          <w:sz w:val="19"/>
          <w:szCs w:val="19"/>
          <w:color w:val="auto"/>
        </w:rPr>
      </w:pPr>
    </w:p>
    <w:p>
      <w:pPr>
        <w:ind w:left="660" w:firstLine="637"/>
        <w:spacing w:after="0" w:line="287" w:lineRule="auto"/>
        <w:tabs>
          <w:tab w:leader="none" w:pos="150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20"/>
          <w:szCs w:val="20"/>
          <w:color w:val="auto"/>
        </w:rPr>
      </w:pPr>
    </w:p>
    <w:p>
      <w:pPr>
        <w:ind w:left="660" w:right="40" w:firstLine="637"/>
        <w:spacing w:after="0" w:line="287" w:lineRule="auto"/>
        <w:tabs>
          <w:tab w:leader="none" w:pos="1491"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Times New Roman" w:cs="Times New Roman" w:eastAsia="Times New Roman" w:hAnsi="Times New Roman"/>
          <w:sz w:val="20"/>
          <w:szCs w:val="20"/>
          <w:color w:val="auto"/>
        </w:rPr>
      </w:pPr>
    </w:p>
    <w:p>
      <w:pPr>
        <w:ind w:left="660" w:right="200" w:firstLine="637"/>
        <w:spacing w:after="0" w:line="309" w:lineRule="auto"/>
        <w:tabs>
          <w:tab w:leader="none" w:pos="1502" w:val="left"/>
        </w:tabs>
        <w:numPr>
          <w:ilvl w:val="1"/>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0680"/>
          </w:cols>
          <w:pgMar w:left="320" w:top="1440" w:right="899" w:bottom="1440" w:gutter="0" w:footer="0" w:header="0"/>
        </w:sectPr>
      </w:pPr>
    </w:p>
    <w:bookmarkStart w:id="35" w:name="page36"/>
    <w:bookmarkEnd w:id="35"/>
    <w:p>
      <w:pPr>
        <w:spacing w:after="0" w:line="128" w:lineRule="exact"/>
        <w:rPr>
          <w:sz w:val="20"/>
          <w:szCs w:val="20"/>
          <w:color w:val="auto"/>
        </w:rPr>
      </w:pPr>
    </w:p>
    <w:p>
      <w:pPr>
        <w:jc w:val="both"/>
        <w:ind w:right="80" w:firstLine="652"/>
        <w:spacing w:after="0" w:line="287" w:lineRule="auto"/>
        <w:tabs>
          <w:tab w:leader="none" w:pos="84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2" w:lineRule="exact"/>
        <w:rPr>
          <w:rFonts w:ascii="Times New Roman" w:cs="Times New Roman" w:eastAsia="Times New Roman" w:hAnsi="Times New Roman"/>
          <w:sz w:val="20"/>
          <w:szCs w:val="20"/>
          <w:color w:val="auto"/>
        </w:rPr>
      </w:pPr>
    </w:p>
    <w:p>
      <w:pPr>
        <w:ind w:left="660" w:right="360" w:firstLine="637"/>
        <w:spacing w:after="0" w:line="294" w:lineRule="auto"/>
        <w:tabs>
          <w:tab w:leader="none" w:pos="1491"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20"/>
          <w:szCs w:val="20"/>
          <w:color w:val="auto"/>
        </w:rPr>
      </w:pPr>
    </w:p>
    <w:p>
      <w:pPr>
        <w:ind w:left="660" w:firstLine="637"/>
        <w:spacing w:after="0" w:line="295" w:lineRule="auto"/>
        <w:tabs>
          <w:tab w:leader="none" w:pos="1502"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May 1, 2025</w:t>
      </w:r>
    </w:p>
    <w:p>
      <w:pPr>
        <w:spacing w:after="0" w:line="21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/s/ Ryan</w:t>
      </w:r>
    </w:p>
    <w:p>
      <w:pPr>
        <w:spacing w:after="0" w:line="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20955</wp:posOffset>
            </wp:positionV>
            <wp:extent cx="9302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930275" cy="8255"/>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Ryan</w:t>
      </w:r>
    </w:p>
    <w:p>
      <w:pPr>
        <w:spacing w:after="0" w:line="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Preblick,</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Chief</w:t>
      </w:r>
    </w:p>
    <w:p>
      <w:pPr>
        <w:spacing w:after="0" w:line="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Financial</w:t>
      </w:r>
    </w:p>
    <w:p>
      <w:pPr>
        <w:spacing w:after="0" w:line="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20"/>
          <w:szCs w:val="20"/>
          <w:color w:val="auto"/>
        </w:rPr>
        <w:t>Officer</w:t>
      </w:r>
    </w:p>
    <w:p>
      <w:pPr>
        <w:sectPr>
          <w:pgSz w:w="11900" w:h="16838" w:orient="portrait"/>
          <w:cols w:equalWidth="0" w:num="1">
            <w:col w:w="10640"/>
          </w:cols>
          <w:pgMar w:left="320" w:top="1440" w:right="939" w:bottom="1440" w:gutter="0" w:footer="0" w:header="0"/>
        </w:sectPr>
      </w:pPr>
    </w:p>
    <w:bookmarkStart w:id="36" w:name="page37"/>
    <w:bookmarkEnd w:id="36"/>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16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right="40" w:firstLine="645"/>
        <w:spacing w:after="0" w:line="295"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Chief Executive Officer of Indivior PLC (the "Company"), does hereby certify that:</w:t>
      </w:r>
    </w:p>
    <w:p>
      <w:pPr>
        <w:spacing w:after="0" w:line="109" w:lineRule="exact"/>
        <w:rPr>
          <w:sz w:val="20"/>
          <w:szCs w:val="20"/>
          <w:color w:val="auto"/>
        </w:rPr>
      </w:pPr>
    </w:p>
    <w:p>
      <w:pPr>
        <w:ind w:firstLine="652"/>
        <w:spacing w:after="0" w:line="311" w:lineRule="auto"/>
        <w:tabs>
          <w:tab w:leader="none" w:pos="8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period ended March 31, 2025 (the "Form 10-Q") of the Company fully complies with the requirements of Section 13(a) or 15(d) of the Securities Exchange Act of 1934; and</w:t>
      </w:r>
    </w:p>
    <w:p>
      <w:pPr>
        <w:spacing w:after="0" w:line="81"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w:t>
      </w:r>
    </w:p>
    <w:p>
      <w:pPr>
        <w:spacing w:after="0" w:line="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2025</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Mark Crossley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42545</wp:posOffset>
            </wp:positionV>
            <wp:extent cx="17151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715135" cy="8255"/>
                    </a:xfrm>
                    <a:prstGeom prst="rect">
                      <a:avLst/>
                    </a:prstGeom>
                    <a:noFill/>
                  </pic:spPr>
                </pic:pic>
              </a:graphicData>
            </a:graphic>
          </wp:anchor>
        </w:drawing>
      </w:r>
    </w:p>
    <w:p>
      <w:pPr>
        <w:spacing w:after="0" w:line="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Mark Crossley, Chief Executive</w:t>
      </w:r>
    </w:p>
    <w:p>
      <w:pPr>
        <w:spacing w:after="0" w:line="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860"/>
          </w:cols>
          <w:pgMar w:left="320" w:top="1440" w:right="719" w:bottom="1440" w:gutter="0" w:footer="0" w:header="0"/>
        </w:sectPr>
      </w:pPr>
    </w:p>
    <w:bookmarkStart w:id="37" w:name="page38"/>
    <w:bookmarkEnd w:id="37"/>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16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w:t>
      </w:r>
    </w:p>
    <w:p>
      <w:pPr>
        <w:spacing w:after="0" w:line="35"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0" w:lineRule="exact"/>
        <w:rPr>
          <w:sz w:val="20"/>
          <w:szCs w:val="20"/>
          <w:color w:val="auto"/>
        </w:rPr>
      </w:pPr>
    </w:p>
    <w:p>
      <w:pPr>
        <w:spacing w:after="0" w:line="229" w:lineRule="exact"/>
        <w:rPr>
          <w:sz w:val="20"/>
          <w:szCs w:val="20"/>
          <w:color w:val="auto"/>
        </w:rPr>
      </w:pPr>
    </w:p>
    <w:p>
      <w:pPr>
        <w:ind w:right="100" w:firstLine="645"/>
        <w:spacing w:after="0" w:line="295"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Chief Financial Officer of Indivior PLC (the "Company"), does hereby certify that:</w:t>
      </w:r>
    </w:p>
    <w:p>
      <w:pPr>
        <w:spacing w:after="0" w:line="109" w:lineRule="exact"/>
        <w:rPr>
          <w:sz w:val="20"/>
          <w:szCs w:val="20"/>
          <w:color w:val="auto"/>
        </w:rPr>
      </w:pPr>
    </w:p>
    <w:p>
      <w:pPr>
        <w:ind w:firstLine="652"/>
        <w:spacing w:after="0" w:line="311" w:lineRule="auto"/>
        <w:tabs>
          <w:tab w:leader="none" w:pos="8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fiscal period ended March 31, 2025 (the "Form 10-Q") of the Company fully complies with the requirements of Section 13(a) or 15(d) of the Securities Exchange Act of 1934; and</w:t>
      </w:r>
    </w:p>
    <w:p>
      <w:pPr>
        <w:spacing w:after="0" w:line="81" w:lineRule="exact"/>
        <w:rPr>
          <w:rFonts w:ascii="Times New Roman" w:cs="Times New Roman" w:eastAsia="Times New Roman" w:hAnsi="Times New Roman"/>
          <w:sz w:val="18"/>
          <w:szCs w:val="18"/>
          <w:color w:val="auto"/>
        </w:rPr>
      </w:pPr>
    </w:p>
    <w:p>
      <w:pPr>
        <w:ind w:left="840" w:hanging="188"/>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w:t>
      </w:r>
    </w:p>
    <w:p>
      <w:pPr>
        <w:spacing w:after="0" w:line="3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2025</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 Ryan Preblick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42545</wp:posOffset>
            </wp:positionV>
            <wp:extent cx="17151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715135" cy="8255"/>
                    </a:xfrm>
                    <a:prstGeom prst="rect">
                      <a:avLst/>
                    </a:prstGeom>
                    <a:noFill/>
                  </pic:spPr>
                </pic:pic>
              </a:graphicData>
            </a:graphic>
          </wp:anchor>
        </w:drawing>
      </w:r>
    </w:p>
    <w:p>
      <w:pPr>
        <w:spacing w:after="0" w:line="8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Ryan Preblick, Chief Financial</w:t>
      </w:r>
    </w:p>
    <w:p>
      <w:pPr>
        <w:spacing w:after="0" w:line="3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860"/>
      </w:cols>
      <w:pgMar w:left="320" w:top="1440"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12"/>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4"/>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5"/>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37" Type="http://schemas.openxmlformats.org/officeDocument/2006/relationships/hyperlink" Target="https://www.sec.gov/ix?doc=/Archives/edgar/data/0001625297/000162529725000016/indv-20241231.htm#i0dee1f47aaf64e24a87b163e8539f55e" TargetMode="External"/><Relationship Id="rId44" Type="http://schemas.openxmlformats.org/officeDocument/2006/relationships/hyperlink" Target="https://www.sec.gov/Archives/edgar/data/1625297/000162828023019402/exhibit11-20f.htm" TargetMode="External"/><Relationship Id="rId45" Type="http://schemas.openxmlformats.org/officeDocument/2006/relationships/hyperlink" Target="https://www.sec.gov/Archives/edgar/data/1625297/000162828023019402/exhibit421-20f.htm" TargetMode="External"/><Relationship Id="rId46" Type="http://schemas.openxmlformats.org/officeDocument/2006/relationships/hyperlink" Target="https://www.sec.gov/Archives/edgar/data/1625297/000162529725000016/a10233indivior-markver2.htm" TargetMode="External"/><Relationship Id="rId47" Type="http://schemas.openxmlformats.org/officeDocument/2006/relationships/hyperlink" Target="https://www.sec.gov/Archives/edgar/data/1625297/000162529725000021/ex101amendedandrestatedrel.htm" TargetMode="External"/><Relationship Id="rId48" Type="http://schemas.openxmlformats.org/officeDocument/2006/relationships/hyperlink" Target="https://www.sec.gov/Archives/edgar/data/1625297/000162529725000021/ex102-jciaffoniemployme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2025-05-01T16:29:19Z</dcterms:created>
  <dcterms:modified xsi:type="dcterms:W3CDTF">2025-05-01T16:29:19Z</dcterms:modified>
</cp:coreProperties>
</file>