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447d8k.htm"/>
      <w:bookmarkStart w:id="1" w:name="ksd284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INDIVIOR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001-37835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41-2520873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10710 Midlothian Turnpike, Suite 125</w:t>
            </w:r>
          </w:p>
          <w:p>
            <w:pPr>
              <w:pStyle w:val="TableContents"/>
              <w:bidi w:val="0"/>
              <w:spacing w:before="0" w:after="20"/>
              <w:jc w:val="center"/>
              <w:rPr>
                <w:rFonts w:ascii="Times New Roman" w:hAnsi="Times New Roman"/>
                <w:b/>
                <w:sz w:val="20"/>
              </w:rPr>
            </w:pPr>
            <w:r>
              <w:rPr>
                <w:rFonts w:ascii="Times New Roman" w:hAnsi="Times New Roman"/>
                <w:b/>
                <w:sz w:val="20"/>
              </w:rPr>
              <w:t>North Chesterfield, VA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23235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804-379-1090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100"/>
        <w:gridCol w:w="60"/>
        <w:gridCol w:w="740"/>
        <w:gridCol w:w="60"/>
        <w:gridCol w:w="305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INDV</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Selection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August 1, 2026, Indivior Pharmaceuticals, Inc., a Delaware corporation (“Indivior”) and Artemis Merger Sub Inc., a Delaware corporation and a wholly owned subsidiary of Indivior (“Merger Sub”), entered into an Agreement and Plan of Merger (the “Merger Agreement”) with Supernus Pharmaceuticals, Inc., a Delaware corporation (“Supernus”).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 As a result of the Merger, Indivior will be renamed Supernus, Inc. (the “Combined Company”).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at the effective time of the Merger (the “Effective Time”) and as a result of the Merger, each share of common stock of Supernus (“Supernus Share”) issued and outstanding immediately prior to the Effective Time will be converted into the right to receive 1.5401 shares of common stock of Indivior (“Indivior Share”) (the “Exchange Ratio”). In addition, at the Effective Time and as a result of the Merger and without any action on the part of any holder thereof: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of Supernus (“Supernus RSU”) that is then outstanding shall automatically be assumed and converted into an award of restricted stock units of Indivior (each, a “Rollover RSU”) with the same terms and conditions that applied to such Supernus RSU, including applicable vesting conditions, relating to the number of Indivior Shares equal to the product, rounded down to the nearest whole number, of (A) the number of Supernus Shares subject to such Supernus RSU immediately prior to the Effective Time </w:t>
            </w:r>
            <w:r>
              <w:rPr>
                <w:rFonts w:ascii="Times New Roman" w:hAnsi="Times New Roman"/>
                <w:i/>
                <w:sz w:val="20"/>
              </w:rPr>
              <w:t>multiplied by</w:t>
            </w:r>
            <w:r>
              <w:rPr>
                <w:rFonts w:ascii="Times New Roman" w:hAnsi="Times New Roman"/>
                <w:sz w:val="20"/>
              </w:rPr>
              <w:t xml:space="preserve"> (B)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granted under a Supernus Equity Plan (as defined in the Merger Agreement) that is subject to performance-based vesting restrictions (“Supernus PSU”) that is then outstanding shall automatically be assumed and converted into a Rollover RSU that is subject solely to time-based vesting, with such time-based vesting schedule to be provided by Supernus prior to the Effective Time, with the same other terms and conditions that applied to such Supernus PSU award immediately prior to the Effective Time, relating to a number of Indivior Shares equal to the product, rounded down to the nearest whole number, of (A) the number of Supernus Shares subject to such Supernus PSU award immediately prior to the Effective Time </w:t>
            </w:r>
            <w:r>
              <w:rPr>
                <w:rFonts w:ascii="Times New Roman" w:hAnsi="Times New Roman"/>
                <w:i/>
                <w:sz w:val="20"/>
              </w:rPr>
              <w:t>multiplied by</w:t>
            </w:r>
            <w:r>
              <w:rPr>
                <w:rFonts w:ascii="Times New Roman" w:hAnsi="Times New Roman"/>
                <w:sz w:val="20"/>
              </w:rPr>
              <w:t xml:space="preserve"> (B) the Exchange Ratio;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Supernus Shares (“Supernus Option”) that is then outstanding shall automatically be assumed and converted into an option to acquire Indivior Shares (each, a “Rollover Option”) at an adjusted exercise price per share, subject to the same terms and conditions as were applicable to such Supernus Option immediately prior to the Effective Time, including applicable vesting conditions; accordingly, effective as of the Effective Time: (A) each such Rollover Option shall be exercisable solely for Indivior Shares, (B) the number of Indivior Shares subject to each Rollover Option shall be determined by multiplying the number of Supernus Shares subject to the Supernus Option immediately prior to the Effective Time by the Exchange Ratio and rounding down to the nearest whole number, and (C) the per share exercise price for the Indivior Shares issuable upon exercise of such Rollover Option shall be equal to the per share exercise price of Supernus Shares subject to the Supernus Option, as in effect immediately prior to the Effective Time, </w:t>
            </w:r>
            <w:r>
              <w:rPr>
                <w:rFonts w:ascii="Times New Roman" w:hAnsi="Times New Roman"/>
                <w:i/>
                <w:sz w:val="20"/>
              </w:rPr>
              <w:t>divided by</w:t>
            </w:r>
            <w:r>
              <w:rPr>
                <w:rFonts w:ascii="Times New Roman" w:hAnsi="Times New Roman"/>
                <w:sz w:val="20"/>
              </w:rPr>
              <w:t xml:space="preserve"> the Exchange Ratio and rounding the resulting exercise price up to the nearest whole cent.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 Indivior stockholders are expected to own approximately 56.5% of the Combined Company on a fully diluted basis and Supernus stockholders will own approximately 43.5% of the Combined Company on a fully diluted basis.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and subject to the terms and conditions of the Merger Agreement, Indivior will declare a special cash dividend in an aggregate amount of $1,000,000,000 (the “Special Dividend”), which will be payable to (i) holders of record of the issued and outstanding Indivior Shares as of a record date immediately prior to the Effective Time (the “Special Dividend Record Date”) and (ii) holders of certain Indivior equity awards outstanding as of the Special Dividend Record Date with respect to the Indivior Share underlying such Indivior equity award, with such Special Dividend to be paid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Certain 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as of the Effective Time, (i) the board of directors of the Combined Company (the “Combined Company Board”) will consist of eight individuals, including four individuals who are nominees of the board of directors of Indivior immediately prior to the Effective Time and four individuals who are nominees of the board of directors of Supernus immediately prior to the Effective Time; (ii) Jack A. Khattar will serve as Chief Executive Officer and as a member of the Combined Company Board; and (iii) Timothy C. Dec will serve as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 parties have agreed to (i) take all actions necessary to change Indivior’s name to Supernus, Inc. at or immediately prior to the Effective Time and (ii) use reasonable best efforts to take all actions necessary to cause the Indivior Shares (which, from and after the Effective Time, shall be the shares of the Combined Company) to be traded on Nasdaq under the ticker symbol “SUPN” effective as of the open of trading on the first trading day on or after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implement the Merger is subject to certain customary conditions, including (i) the approval by Indivior stockholders of the issuance of Indivior Shares in connection with the Merger (the “Indivior Share Issuance”); (ii) the adoption of the Merger Agreement by Supernus stockholders holding a majority of the outstanding Supernus Shares entitled to vote thereon; (iii) the effectiveness of the registration statement; (iv) all applicable waiting periods under the Hart-Scott-Rodino Antitrust Improvements Act of 1976 having expired or been terminated; (v) no law having been enacted or order issued that remains in effect and has the effect of enjoining or otherwise prohibiting the consummation of the Merger; (vi) the Indivior Shares to be issued in connection with the Merger being approved for listing on Nasdaq; (vii) the truth and accuracy of the other party’s representations and warranties in the Merger Agreement, generally subject to a Material Adverse Effect (as defined in the Merger Agreement) standard; (viii) no Material Adverse Effect (as defined in the Merger Agreement) of the other party having occurred since the date of the Merger Agreement; and (ix) the performance in all material respects by the other party of all of its covenants and agreements under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Covenants </w:t>
      </w:r>
    </w:p>
    <w:p>
      <w:pPr>
        <w:pStyle w:val="TextBody"/>
        <w:bidi w:val="0"/>
        <w:spacing w:before="120" w:after="0"/>
        <w:jc w:val="left"/>
        <w:rPr>
          <w:rFonts w:ascii="Times New Roman" w:hAnsi="Times New Roman"/>
          <w:sz w:val="20"/>
        </w:rPr>
      </w:pPr>
      <w:r>
        <w:rPr>
          <w:rFonts w:ascii="Times New Roman" w:hAnsi="Times New Roman"/>
          <w:sz w:val="20"/>
        </w:rPr>
        <w:t xml:space="preserve">Each of Indivior and Supernus have made customary representations, warranties and covenants in the Merger Agreement, including, among others, covenants that (i) each party will conduct its business in all material respects in the ordinary course consistent with past practice during the interim period between the execution of the Merger Agreement and the consummation of the Merger; (ii) each party will not engage in certain kinds of transactions or take certain actions during such period; (iii) each party will convene and hold a meeting of its stockholders for the purpose of considering the adoption of the Merger Agreement, in the case of Supernus, and for the purpose of approving the Indivior Share Issuance, in the case of Indivior; and (iv) the respective boards of directors will recommend, subject to certain exceptions, that, its stockholders adopt the Merger Agreement, in the case of Supernus, and its stockholders approve the Indivior Share Issuance, in the case of Indivior. </w:t>
      </w:r>
    </w:p>
    <w:p>
      <w:pPr>
        <w:pStyle w:val="TextBody"/>
        <w:bidi w:val="0"/>
        <w:spacing w:before="240" w:after="0"/>
        <w:jc w:val="left"/>
        <w:rPr>
          <w:rFonts w:ascii="Times New Roman" w:hAnsi="Times New Roman"/>
          <w:sz w:val="20"/>
        </w:rPr>
      </w:pPr>
      <w:r>
        <w:rPr>
          <w:rFonts w:ascii="Times New Roman" w:hAnsi="Times New Roman"/>
          <w:sz w:val="20"/>
        </w:rPr>
        <w:t xml:space="preserve">Each party also has agreed not to (i) take certain actions to solicit proposals relating to alternative business combination transactions or (ii) subject to certain exceptions, including the receipt of a Superior Proposal (as defined in the Merger Agreement), enter into discussions or an agreement concerning or provide confidential information in connection with any proposals for alternative business combination transactions.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Termination and 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by mutual written consent of Indivior and Supernus. The Merger Agreement also contains certain termination rights, including, among others, the right of either party to terminate if (i) the Merger shall not have become effective by the date that is six (6) months following the date of the Merger Agreement (the “Termination Date”), provided that the Termination Date may be extended by either party twice to a maximum of twelve (12) months following the date of the Merger Agreement if all conditions to consummate the Merger have been satisfied other than obtaining antitrust approval by the initial Termination Date or the extended Termination Date, as applicable; (ii) the Indivior and/or Supernus stockholder approvals are not obtained; (iii) the other party breaches its representations and covenants and such breach would result in the closing conditions not being satisfied, subject to the right of the breaching party to cure the breach; or (iv) a governmental body shall have issued any final and non-appealable order or any applicable law shall have been enacted that has the effect of permanently enjoining or otherwise prohibiting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Indivior must pay Supernus a termination fee of $174.0 million if the Merger Agreement is terminated (a) by Supernus in response to the Indivior board of directors or committee thereof (i) changing its recommendation in favor of the Merger, (ii) not including its recommendation in the parties’ joint proxy statement, or (iii) publicly proposing to take any actions in clauses (i) and (ii); (b) by Indivior to enter into a definitive agreement with respect to a Superior Proposal (as defined in the Merger Agreement) prior to obtaining the requisite Indivior stockholder approval, and while in compliance with the non-solicitation provisions of the Merger Agreement; or (c) (I) by either party, if the Merger is not consummated within the applicable Termination Date or Indivior stockholder approval is not obtained or (II) by Supernus, in response to a material incurable breach by Indivior, and a competing proposal with respect to Indivior is publicly proposed and within 12 months after such termination, Indivior enters into a definitive agreement (which is ultimately consummated) or consummates a transaction with respect to a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Supernus must pay Indivior a termination fee of $101.0 million if the Merger Agreement is terminated by (a) Indivior in response to the Supernus board of directors or committee thereof (i) changing its recommendation in favor of the Merger, (ii) not including its recommendation in the parties’ joint proxy statement, or (iii) publicly proposing to take any actions in clauses (i) and (ii); (b) by Supernus to enter into a definitive agreement with respect to a Superior Proposal (as defined in the Merger Agreement) prior to obtaining the requisite Supernus stockholder approval, and while in compliance with the non-solicitation provisions of the Merger Agreement; or (c) (I) by either party, if the Merger is not consummated within the applicable Termination Date or the Supernus stockholder approval is not obtained or (II) by Indivior in response to a material incurable breach by Supernus, and a competing proposal with respect to Supernus is publicly proposed and within 12 months after such termination, Supernus enters into a definitive agreement (which is ultimately consummated) or consummates a transaction with respect to a competing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(i) the directors and officers of Indivior, in their capacity as stockholders of Indivior, entered into voting agreements with Supernus (the “Indivior Voting Agreements”) and (ii) the directors and officers of Supernus, in their capacity as stockholders of Supernus, entered into voting agreements with Indivior (the “Supernus Voting Agreements” and together with the Indivior Voting Agreements, the “Voting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Indivior Voting Agreements, the stockholders of Indivior, have agreed, among other things, to: (i) vote their beneficially owned capital stock of Indivior, (1) in favor of the Indivior Share Issuance and each of the transactions contemplated by the Merger Agreement, including any matter necessary for the consummation of the transactions thereby, (2) against any proposal made in opposition to, in competition with, or inconsistent with, the Merger Agreement or the Merger or any of the transactions contemplated thereby, (3) against any action that could reasonably be expected to materially impede, delay or adversely affect the Merger or any of the other transactions contemplated by the Merger Agreement, including against any competing proposal and (4) in favor of any proposal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adjourn or postpone any meeting of Indivior stockholders if there are not sufficient votes for approval of the Indivior Share Issuance on the date on which the meeting is held; and (ii) comply with certain restrictions on the disposition of such shares, in each case subject to the terms and conditions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Supernus Voting Agreements, the stockholders of Supernus, have agreed, among other things, to: (i) vote their beneficially owned capital stock of Supernus, (1) in favor of the Merger, adoption and approval of the Merger Agreement and the terms thereof and the transactions contemplated by the Merger Agreement, including any matter necessary for the consummation of the Merger, (2) against any proposal made in opposition to, in competition with, or inconsistent with, the Merger Agreement or the Merger or any of the transactions contemplated thereby, (3) against any action that could reasonably be expected to materially impede, delay or adversely affect the Merger or any of the other transactions contemplated by the Merger Agreement, including against any competing proposal and (4) in favor of any proposal to adjourn or postpone any meeting of Supernus stockholders if there are not sufficient votes for approval of Merger Agreement on the date on which the meeting is held; and (ii) comply with certain restrictions on the disposition of such shares, in each case subject to the terms and conditions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Voting Agreements does not purport to be complete and is subject to, and qualified in their entirety by, references to the form of the Indivior Voting Agreement, which is filed as Exhibit 99.1 to this Current Report on Form 8-K and incorporated herein by reference and to the form of Supernus Voting Agreement, which is filed as Exhibit 99.2 to this Current Report on Form 8-K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summary of the principal terms of the Merger Agreement and the Voting Agreements and the copies of such agreements filed as exhibits to this report are intended to provide information regarding the terms of the Merger Agreement and the Voting Agreements and are not intended to modify or supplement any factual disclosures about Indivior in its public reports filed with the United States Securities and Exchange Commission (the “SEC”). In particular, the Merger Agreement and related summary are not intended to be, and should not be relied upon as, disclosures regarding any facts and circumstances relating to Indivior.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includes customary representations, warranties and covenants of Indivior, Merger Sub and Supernus made solely for the benefit of the parties to the Merger Agreement. The assertions embodied in those representations and warranties were made solely for purposes of the contract among Indivior, Merger Sub and Supernus and may be subject to important qualifications and limitations agreed to by Indivior, Merger Sub and Supernus, including having been modified or qualified by certain confidential disclosures that were made between the parties in connection with the negotiated terms. Moreover, some of those representations and warranties may not be accurate or complete as of any specified date, may be subject to a contractual standard of materiality different from those generally applicable to Indivior’s SEC filings or may have been used for purposes of allocating risk among Indivior, Merger Sub and Supernus rather than establishing matters as facts. Investors are not third-party beneficiaries under the Merger Agreement and should not rely on the representations, warranties and covenants or any description thereof as characterizations of the actual state of facts of Indivior, Merger Sub and Supernus or any of the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Merger Agreement and Voting Agreements do not purport to be complete and are qualified in their entirety by reference to the full text of the Merger Agreement and Voting Agreements which are filed as Exhibits 2.1, 99.1 and 99.2, hereto and incorporated herein by reference.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Indivior and Supernus issued a joint press release announcing the execution of the Merger Agreement (the “Joint Press Release”), a copy of which is furnished as Exhibit 99.3 to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The following exhibits are filed with this Current Report on Form 8-K:</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1"/>
        <w:gridCol w:w="120"/>
        <w:gridCol w:w="9514"/>
      </w:tblGrid>
      <w:tr>
        <w:trPr/>
        <w:tc>
          <w:tcPr>
            <w:tcW w:w="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4" w:type="dxa"/>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center"/>
              <w:rPr/>
            </w:pPr>
            <w:r>
              <w:rPr/>
              <w:t>Description</w:t>
            </w:r>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28447dex21.htm">
              <w:r>
                <w:rPr>
                  <w:rStyle w:val="InternetLink"/>
                </w:rPr>
                <w:t xml:space="preserve">Agreement and Plan of Merger, dated as of August 1, 2026, by and among Indivior, Merger Sub and Supernus.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28447dex991.htm">
              <w:r>
                <w:rPr>
                  <w:rStyle w:val="InternetLink"/>
                </w:rPr>
                <w:t xml:space="preserve">Form of Indivior Voting Agreement, by and among Supernus and certain stockholders of Indivior.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28447dex992.htm">
              <w:r>
                <w:rPr>
                  <w:rStyle w:val="InternetLink"/>
                </w:rPr>
                <w:t xml:space="preserve">Form of Supernus Voting Agreement, by and among Indivior and certain stockholders of Supernus.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28447dex993.htm">
              <w:r>
                <w:rPr>
                  <w:rStyle w:val="InternetLink"/>
                </w:rPr>
                <w:t xml:space="preserve">Joint Press Release of Indivior and Supernus, dated August 3, 2026.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schedules to the Agreement and Plan of Merger have been omitted from this filing pursuant to Item 601(b)(2) of Regulation S-K. Indivior will furnish copies of any such schedules to the SEC upon request. </w:t>
            </w:r>
          </w:p>
        </w:tc>
      </w:tr>
    </w:tbl>
    <w:p>
      <w:pPr>
        <w:pStyle w:val="HorizontalLine"/>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 w:hAnsi="Times New Roman"/>
          <w:sz w:val="20"/>
          <w:u w:val="single"/>
        </w:rPr>
        <w:t>www.sec.gov</w:t>
      </w:r>
      <w:r>
        <w:rPr>
          <w:rFonts w:ascii="Times New Roman" w:hAnsi="Times New Roman"/>
          <w:sz w:val="20"/>
        </w:rPr>
        <w:t xml:space="preserve">. Copies of the documents filed by Indivior with the SEC will be available free of charge on Indivior’s website at </w:t>
      </w:r>
      <w:r>
        <w:rPr>
          <w:rFonts w:ascii="Times New Roman" w:hAnsi="Times New Roman"/>
          <w:sz w:val="20"/>
          <w:u w:val="single"/>
        </w:rPr>
        <w:t>www.indivior.com</w:t>
      </w:r>
      <w:r>
        <w:rPr>
          <w:rFonts w:ascii="Times New Roman" w:hAnsi="Times New Roman"/>
          <w:sz w:val="20"/>
        </w:rPr>
        <w:t xml:space="preserve"> or by contacting Indivior’s Investor Relations at </w:t>
      </w:r>
      <w:r>
        <w:rPr>
          <w:rFonts w:ascii="Times New Roman" w:hAnsi="Times New Roman"/>
          <w:sz w:val="20"/>
          <w:u w:val="single"/>
        </w:rPr>
        <w:t>InvestorRelations@indivior.com</w:t>
      </w:r>
      <w:r>
        <w:rPr>
          <w:rFonts w:ascii="Times New Roman" w:hAnsi="Times New Roman"/>
          <w:sz w:val="20"/>
        </w:rPr>
        <w:t xml:space="preserve">. Copies of the documents filed by Supernus with the SEC will be available free of charge on Supernus’ website at </w:t>
      </w:r>
      <w:r>
        <w:rPr>
          <w:rFonts w:ascii="Times New Roman" w:hAnsi="Times New Roman"/>
          <w:sz w:val="20"/>
          <w:u w:val="single"/>
        </w:rPr>
        <w:t>www.supernus.com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 This report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47" w:type="dxa"/>
        <w:jc w:val="left"/>
        <w:tblInd w:w="0" w:type="dxa"/>
        <w:tblLayout w:type="fixed"/>
        <w:tblCellMar>
          <w:top w:w="0" w:type="dxa"/>
          <w:left w:w="0" w:type="dxa"/>
          <w:bottom w:w="0" w:type="dxa"/>
          <w:right w:w="0" w:type="dxa"/>
        </w:tblCellMar>
      </w:tblPr>
      <w:tblGrid>
        <w:gridCol w:w="2075"/>
        <w:gridCol w:w="60"/>
        <w:gridCol w:w="23"/>
        <w:gridCol w:w="60"/>
        <w:gridCol w:w="981"/>
        <w:gridCol w:w="90"/>
        <w:gridCol w:w="3358"/>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29" w:type="dxa"/>
            <w:gridSpan w:val="3"/>
            <w:tcBorders/>
            <w:vAlign w:val="center"/>
          </w:tcPr>
          <w:p>
            <w:pPr>
              <w:pStyle w:val="TableContents"/>
              <w:bidi w:val="0"/>
              <w:spacing w:before="0" w:after="283"/>
              <w:jc w:val="left"/>
              <w:rPr>
                <w:b/>
              </w:rPr>
            </w:pPr>
            <w:r>
              <w:rPr>
                <w:b/>
              </w:rPr>
              <w:t>INDIVIOR PHARMACEUTICALS,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41" w:type="dxa"/>
            <w:gridSpan w:val="2"/>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By:</w:t>
            </w:r>
          </w:p>
        </w:tc>
        <w:tc>
          <w:tcPr>
            <w:tcW w:w="90" w:type="dxa"/>
            <w:tcBorders/>
            <w:vAlign w:val="center"/>
          </w:tcPr>
          <w:p>
            <w:pPr>
              <w:pStyle w:val="TableContents"/>
              <w:bidi w:val="0"/>
              <w:spacing w:before="0" w:after="283"/>
              <w:jc w:val="left"/>
              <w:rPr/>
            </w:pPr>
            <w:r>
              <w:rPr/>
              <w:t> </w:t>
            </w:r>
          </w:p>
        </w:tc>
        <w:tc>
          <w:tcPr>
            <w:tcW w:w="335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left"/>
              <w:rPr/>
            </w:pPr>
            <w:r>
              <w:rPr/>
              <w:t> </w:t>
            </w:r>
          </w:p>
        </w:tc>
        <w:tc>
          <w:tcPr>
            <w:tcW w:w="3358" w:type="dxa"/>
            <w:tcBorders/>
            <w:vAlign w:val="center"/>
          </w:tcPr>
          <w:p>
            <w:pPr>
              <w:pStyle w:val="TableContents"/>
              <w:bidi w:val="0"/>
              <w:spacing w:before="0" w:after="283"/>
              <w:jc w:val="left"/>
              <w:rPr/>
            </w:pPr>
            <w:r>
              <w:rPr/>
              <w:t>Ryan Preblick</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Title:</w:t>
            </w:r>
          </w:p>
        </w:tc>
        <w:tc>
          <w:tcPr>
            <w:tcW w:w="90" w:type="dxa"/>
            <w:tcBorders/>
            <w:vAlign w:val="center"/>
          </w:tcPr>
          <w:p>
            <w:pPr>
              <w:pStyle w:val="TableContents"/>
              <w:bidi w:val="0"/>
              <w:spacing w:before="0" w:after="283"/>
              <w:jc w:val="left"/>
              <w:rPr/>
            </w:pPr>
            <w:r>
              <w:rPr/>
              <w:t> </w:t>
            </w:r>
          </w:p>
        </w:tc>
        <w:tc>
          <w:tcPr>
            <w:tcW w:w="3358" w:type="dxa"/>
            <w:tcBorders/>
            <w:vAlign w:val="center"/>
          </w:tcPr>
          <w:p>
            <w:pPr>
              <w:pStyle w:val="TableContents"/>
              <w:bidi w:val="0"/>
              <w:spacing w:before="0" w:after="283"/>
              <w:jc w:val="left"/>
              <w:rPr/>
            </w:pPr>
            <w:r>
              <w:rPr/>
              <w:t>Chief Financial Officer</w:t>
            </w:r>
          </w:p>
        </w:tc>
      </w:tr>
    </w:tbl>
    <w:p>
      <w:pPr>
        <w:pStyle w:val="TextBody"/>
        <w:bidi w:val="0"/>
        <w:spacing w:before="0" w:after="0"/>
        <w:jc w:val="center"/>
        <w:rPr>
          <w:rFonts w:ascii="Times New Roman" w:hAnsi="Times New Roman"/>
          <w:sz w:val="20"/>
        </w:rPr>
      </w:pPr>
      <w:bookmarkStart w:id="2" w:name="d28447dex21.htm"/>
      <w:bookmarkStart w:id="3" w:name="ksd28447dex21"/>
      <w:bookmarkEnd w:id="2"/>
      <w:bookmarkEnd w:id="3"/>
      <w:r>
        <w:rPr>
          <w:rFonts w:ascii="Times New Roman" w:hAnsi="Times New Roman"/>
          <w:sz w:val="20"/>
        </w:rPr>
        <w:t xml:space="preserve">[***] – Certain information in this document has been excluded pursuant to Regulation S-K, Item 601(b)(10). Such excluded information is not material and the registrant customarily and actually treats as private and confidential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ARTEMIS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SUPERNUS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
        <w:gridCol w:w="126"/>
        <w:gridCol w:w="8546"/>
        <w:gridCol w:w="176"/>
        <w:gridCol w:w="96"/>
        <w:gridCol w:w="420"/>
        <w:gridCol w:w="63"/>
      </w:tblGrid>
      <w:tr>
        <w:trPr/>
        <w:tc>
          <w:tcPr>
            <w:tcW w:w="7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546"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54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Article I 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Provisions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Article II 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Indivior; Corporate Governance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 of Surviving Corporation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Corporation and Other Subsidiaries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Supernus Shares and Merger Sub Shares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Supernus Equity Awards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Filing of S-8</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Closing of Supernus Transfer Books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Exchange Fund; Exchange of Certificates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No Liability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Prevent Dilution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No Appraisal Rights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Article III REPRESENTATIONS AND WARRANTIES OF Supernus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Corporate Power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Valid and Binding Agreement</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Capital Stock</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No Breach</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Consents, etc.</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SEC Reports; Disclosure Controls and Procedures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Developments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Title to Properties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Contracts and Commitments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 Permits; Anti-Corruption Laws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Trade Laws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63"/>
        <w:gridCol w:w="125"/>
        <w:gridCol w:w="8762"/>
        <w:gridCol w:w="167"/>
        <w:gridCol w:w="60"/>
        <w:gridCol w:w="265"/>
        <w:gridCol w:w="63"/>
      </w:tblGrid>
      <w:tr>
        <w:trPr/>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Compliance and Conditions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Employment and Labor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FDA and Regulatory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Brokerage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Board Approval; Vote Required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Opinion of Supernus’ Financial Advisor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and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gridSpan w:val="3"/>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gridSpan w:val="3"/>
            <w:tcBorders/>
            <w:vAlign w:val="bottom"/>
          </w:tcPr>
          <w:p>
            <w:pPr>
              <w:pStyle w:val="TableContents"/>
              <w:bidi w:val="0"/>
              <w:spacing w:before="0" w:after="283"/>
              <w:jc w:val="left"/>
              <w:rPr/>
            </w:pPr>
            <w:r>
              <w:rPr/>
              <w:t>Article IV REPRESENTATIONS AND WARRANTIES OF Indivior AND 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763"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Corporate Power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Valid and Binding Agreement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Capital Stock</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Breach</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Consents, etc.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SEC Reports; Disclosure Controls and Procedures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Developments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Title to Properties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Contracts and Commitments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 Permits; Anti-Corruption Laws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Trade Laws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FTC Order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Compliance and Conditions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Employment and Labor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FDA and Regulatory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Brokerage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Board Approval; Vote Required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Opinions of Indivior’s Financial Advisors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and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59"/>
        <w:gridCol w:w="124"/>
        <w:gridCol w:w="8666"/>
        <w:gridCol w:w="152"/>
        <w:gridCol w:w="60"/>
        <w:gridCol w:w="380"/>
        <w:gridCol w:w="64"/>
      </w:tblGrid>
      <w:tr>
        <w:trPr/>
        <w:tc>
          <w:tcPr>
            <w:tcW w:w="7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 COVENANTS RELATING TO CONDUCT OF BUSINESS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Supernus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Indivior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Operation; No Control Prior to Closing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VI ADDITIONAL COVENANTS OF THE PARTIES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Investigation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Statement and Proxy Statement for Stockholder Approval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Meetings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Non-Solicitation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Regulatory Approvals; Additional Agreements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Employee and Labor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Officers and Directors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Public Disclosure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Nasdaq Listing of Additional Shares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Trading Symbol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Qualifying Company Compliance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Certain 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 Control of Other Party’s Business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Special Dividend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Certain Insurance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of Indivior Directors and Officers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FTC Order Compliance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VII CONDITIONS TO CLOSING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All Parties’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Indivior’s and Merger Sub’s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Supernus’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VIII 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Fees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IX MISCELLANEOUS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 Jurisdiction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Assignability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Party Beneficiaries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57"/>
        <w:gridCol w:w="124"/>
        <w:gridCol w:w="8647"/>
        <w:gridCol w:w="158"/>
        <w:gridCol w:w="60"/>
        <w:gridCol w:w="396"/>
        <w:gridCol w:w="63"/>
      </w:tblGrid>
      <w:tr>
        <w:trPr/>
        <w:tc>
          <w:tcPr>
            <w:tcW w:w="75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64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24" w:type="dxa"/>
            <w:tcBorders/>
            <w:vAlign w:val="bottom"/>
          </w:tcPr>
          <w:p>
            <w:pPr>
              <w:pStyle w:val="TableContents"/>
              <w:bidi w:val="0"/>
              <w:spacing w:before="0" w:after="283"/>
              <w:jc w:val="left"/>
              <w:rPr/>
            </w:pPr>
            <w:r>
              <w:rPr/>
              <w:t> </w:t>
            </w:r>
          </w:p>
        </w:tc>
        <w:tc>
          <w:tcPr>
            <w:tcW w:w="864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7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24" w:type="dxa"/>
            <w:tcBorders/>
            <w:vAlign w:val="bottom"/>
          </w:tcPr>
          <w:p>
            <w:pPr>
              <w:pStyle w:val="TableContents"/>
              <w:bidi w:val="0"/>
              <w:spacing w:before="0" w:after="283"/>
              <w:jc w:val="left"/>
              <w:rPr/>
            </w:pPr>
            <w:r>
              <w:rPr/>
              <w:t> </w:t>
            </w:r>
          </w:p>
        </w:tc>
        <w:tc>
          <w:tcPr>
            <w:tcW w:w="8647"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7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24" w:type="dxa"/>
            <w:tcBorders/>
            <w:vAlign w:val="bottom"/>
          </w:tcPr>
          <w:p>
            <w:pPr>
              <w:pStyle w:val="TableContents"/>
              <w:bidi w:val="0"/>
              <w:spacing w:before="0" w:after="283"/>
              <w:jc w:val="left"/>
              <w:rPr/>
            </w:pPr>
            <w:r>
              <w:rPr/>
              <w:t> </w:t>
            </w:r>
          </w:p>
        </w:tc>
        <w:tc>
          <w:tcPr>
            <w:tcW w:w="8647" w:type="dxa"/>
            <w:tcBorders/>
          </w:tcPr>
          <w:p>
            <w:pPr>
              <w:pStyle w:val="TableContents"/>
              <w:bidi w:val="0"/>
              <w:spacing w:before="0" w:after="283"/>
              <w:jc w:val="left"/>
              <w:rPr/>
            </w:pPr>
            <w:r>
              <w:rPr/>
              <w:t>Debt Financing</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35"/>
        <w:gridCol w:w="124"/>
        <w:gridCol w:w="8846"/>
      </w:tblGrid>
      <w:tr>
        <w:trPr/>
        <w:tc>
          <w:tcPr>
            <w:tcW w:w="123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846" w:type="dxa"/>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pPr>
            <w:r>
              <w:rPr/>
              <w:t>Exhibit A:</w:t>
            </w:r>
          </w:p>
        </w:tc>
        <w:tc>
          <w:tcPr>
            <w:tcW w:w="124" w:type="dxa"/>
            <w:tcBorders/>
            <w:vAlign w:val="bottom"/>
          </w:tcPr>
          <w:p>
            <w:pPr>
              <w:pStyle w:val="TableContents"/>
              <w:bidi w:val="0"/>
              <w:spacing w:before="0" w:after="283"/>
              <w:jc w:val="left"/>
              <w:rPr/>
            </w:pPr>
            <w:r>
              <w:rPr/>
              <w:t>  </w:t>
            </w:r>
          </w:p>
        </w:tc>
        <w:tc>
          <w:tcPr>
            <w:tcW w:w="8846" w:type="dxa"/>
            <w:tcBorders/>
          </w:tcPr>
          <w:p>
            <w:pPr>
              <w:pStyle w:val="TableContents"/>
              <w:bidi w:val="0"/>
              <w:spacing w:before="0" w:after="283"/>
              <w:jc w:val="left"/>
              <w:rPr/>
            </w:pPr>
            <w:r>
              <w:rPr/>
              <w:t>Form of Indivior Voting Agreement</w:t>
            </w:r>
          </w:p>
        </w:tc>
      </w:tr>
      <w:tr>
        <w:trPr/>
        <w:tc>
          <w:tcPr>
            <w:tcW w:w="1235" w:type="dxa"/>
            <w:tcBorders/>
          </w:tcPr>
          <w:p>
            <w:pPr>
              <w:pStyle w:val="TableContents"/>
              <w:bidi w:val="0"/>
              <w:spacing w:before="0" w:after="283"/>
              <w:jc w:val="left"/>
              <w:rPr/>
            </w:pPr>
            <w:r>
              <w:rPr/>
              <w:t>Exhibit B:</w:t>
            </w:r>
          </w:p>
        </w:tc>
        <w:tc>
          <w:tcPr>
            <w:tcW w:w="124" w:type="dxa"/>
            <w:tcBorders/>
            <w:vAlign w:val="bottom"/>
          </w:tcPr>
          <w:p>
            <w:pPr>
              <w:pStyle w:val="TableContents"/>
              <w:bidi w:val="0"/>
              <w:spacing w:before="0" w:after="283"/>
              <w:jc w:val="left"/>
              <w:rPr/>
            </w:pPr>
            <w:r>
              <w:rPr/>
              <w:t>  </w:t>
            </w:r>
          </w:p>
        </w:tc>
        <w:tc>
          <w:tcPr>
            <w:tcW w:w="8846" w:type="dxa"/>
            <w:tcBorders/>
          </w:tcPr>
          <w:p>
            <w:pPr>
              <w:pStyle w:val="TableContents"/>
              <w:bidi w:val="0"/>
              <w:spacing w:before="0" w:after="283"/>
              <w:jc w:val="left"/>
              <w:rPr/>
            </w:pPr>
            <w:r>
              <w:rPr/>
              <w:t>Form of Supernus Voting Agreement</w:t>
            </w:r>
          </w:p>
        </w:tc>
      </w:tr>
      <w:tr>
        <w:trPr/>
        <w:tc>
          <w:tcPr>
            <w:tcW w:w="1235" w:type="dxa"/>
            <w:tcBorders/>
          </w:tcPr>
          <w:p>
            <w:pPr>
              <w:pStyle w:val="TableContents"/>
              <w:bidi w:val="0"/>
              <w:spacing w:before="0" w:after="283"/>
              <w:jc w:val="left"/>
              <w:rPr/>
            </w:pPr>
            <w:r>
              <w:rPr/>
              <w:t>Exhibit C:</w:t>
            </w:r>
          </w:p>
        </w:tc>
        <w:tc>
          <w:tcPr>
            <w:tcW w:w="124" w:type="dxa"/>
            <w:tcBorders/>
            <w:vAlign w:val="bottom"/>
          </w:tcPr>
          <w:p>
            <w:pPr>
              <w:pStyle w:val="TableContents"/>
              <w:bidi w:val="0"/>
              <w:spacing w:before="0" w:after="283"/>
              <w:jc w:val="left"/>
              <w:rPr/>
            </w:pPr>
            <w:r>
              <w:rPr/>
              <w:t>  </w:t>
            </w:r>
          </w:p>
        </w:tc>
        <w:tc>
          <w:tcPr>
            <w:tcW w:w="8846" w:type="dxa"/>
            <w:tcBorders/>
          </w:tcPr>
          <w:p>
            <w:pPr>
              <w:pStyle w:val="TableContents"/>
              <w:bidi w:val="0"/>
              <w:spacing w:before="0" w:after="283"/>
              <w:jc w:val="left"/>
              <w:rPr/>
            </w:pPr>
            <w:r>
              <w:rPr/>
              <w:t>Form of Dividend Payment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AGREEMENT AND PLAN OF MERGER </w:t>
      </w:r>
      <w:r>
        <w:rPr>
          <w:rFonts w:ascii="Times New Roman" w:hAnsi="Times New Roman"/>
          <w:sz w:val="20"/>
        </w:rPr>
        <w:t>(this “</w:t>
      </w:r>
      <w:r>
        <w:rPr>
          <w:rFonts w:ascii="Times New Roman" w:hAnsi="Times New Roman"/>
          <w:b/>
          <w:sz w:val="20"/>
        </w:rPr>
        <w:t>Agreement</w:t>
      </w:r>
      <w:r>
        <w:rPr>
          <w:rFonts w:ascii="Times New Roman" w:hAnsi="Times New Roman"/>
          <w:sz w:val="20"/>
        </w:rPr>
        <w:t>”) is dated August 1, 2026, by and among Indivior Pharmaceuticals, Inc., a Delaware corporation (“</w:t>
      </w:r>
      <w:r>
        <w:rPr>
          <w:rFonts w:ascii="Times New Roman" w:hAnsi="Times New Roman"/>
          <w:b/>
          <w:sz w:val="20"/>
        </w:rPr>
        <w:t>Indivior</w:t>
      </w:r>
      <w:r>
        <w:rPr>
          <w:rFonts w:ascii="Times New Roman" w:hAnsi="Times New Roman"/>
          <w:sz w:val="20"/>
        </w:rPr>
        <w:t>”), Artemis Merger Sub Inc., a Delaware corporation and a wholly-owned subsidiary of Indivior (“</w:t>
      </w:r>
      <w:r>
        <w:rPr>
          <w:rFonts w:ascii="Times New Roman" w:hAnsi="Times New Roman"/>
          <w:b/>
          <w:sz w:val="20"/>
        </w:rPr>
        <w:t>Merger Sub</w:t>
      </w:r>
      <w:r>
        <w:rPr>
          <w:rFonts w:ascii="Times New Roman" w:hAnsi="Times New Roman"/>
          <w:sz w:val="20"/>
        </w:rPr>
        <w:t>”), and Supernus Pharmaceuticals, Inc., a Delaware corporation (“</w:t>
      </w:r>
      <w:r>
        <w:rPr>
          <w:rFonts w:ascii="Times New Roman" w:hAnsi="Times New Roman"/>
          <w:b/>
          <w:sz w:val="20"/>
        </w:rPr>
        <w:t>Supernus</w:t>
      </w:r>
      <w:r>
        <w:rPr>
          <w:rFonts w:ascii="Times New Roman" w:hAnsi="Times New Roman"/>
          <w:sz w:val="20"/>
        </w:rPr>
        <w:t xml:space="preserve">”). Capitalized terms used and not otherwise defined herein have the meanings set forth in </w:t>
      </w:r>
      <w:r>
        <w:rPr>
          <w:rFonts w:ascii="Times New Roman" w:hAnsi="Times New Roman"/>
          <w:sz w:val="20"/>
          <w:u w:val="single"/>
        </w:rPr>
        <w:t>ARTICLE I</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 w:hAnsi="Times New Roman"/>
          <w:sz w:val="20"/>
          <w:u w:val="single"/>
        </w:rPr>
        <w:t>Section 2.5(b)</w:t>
      </w:r>
      <w:r>
        <w:rPr>
          <w:rFonts w:ascii="Times New Roman" w:hAnsi="Times New Roman"/>
          <w:sz w:val="20"/>
        </w:rPr>
        <w:t xml:space="preserve"> hereof,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 w:hAnsi="Times New Roman"/>
          <w:b/>
          <w:sz w:val="20"/>
        </w:rPr>
        <w:t>Indivior Recommendation</w:t>
      </w:r>
      <w:r>
        <w:rPr>
          <w:rFonts w:ascii="Times New Roman" w:hAnsi="Times New Roman"/>
          <w:sz w:val="20"/>
        </w:rPr>
        <w:t xml:space="preserve">”); and (d) directed that the Indivior Share Issuance be submitted to the Indivior Stockholders for approval;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 w:hAnsi="Times New Roman"/>
          <w:b/>
          <w:sz w:val="20"/>
        </w:rPr>
        <w:t>Supernus Recommendation</w:t>
      </w:r>
      <w:r>
        <w:rPr>
          <w:rFonts w:ascii="Times New Roman" w:hAnsi="Times New Roman"/>
          <w:sz w:val="20"/>
        </w:rPr>
        <w:t xml:space="preserve">”); and (d) directed that this Agreement be submitted to the Supernus Stockholders for adoption;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 w:hAnsi="Times New Roman"/>
          <w:sz w:val="20"/>
          <w:u w:val="single"/>
        </w:rPr>
        <w:t>Exhibit A</w:t>
      </w:r>
      <w:r>
        <w:rPr>
          <w:rFonts w:ascii="Times New Roman" w:hAnsi="Times New Roman"/>
          <w:sz w:val="20"/>
        </w:rPr>
        <w:t xml:space="preserve"> (“</w:t>
      </w:r>
      <w:r>
        <w:rPr>
          <w:rFonts w:ascii="Times New Roman" w:hAnsi="Times New Roman"/>
          <w:b/>
          <w:sz w:val="20"/>
        </w:rPr>
        <w:t>Indivior Voting Agreements</w:t>
      </w:r>
      <w:r>
        <w:rPr>
          <w:rFonts w:ascii="Times New Roman" w:hAnsi="Times New Roman"/>
          <w:sz w:val="20"/>
        </w:rPr>
        <w:t xml:space="preserve">”), agreeing to certain matters with respect to the Merger and the other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 w:hAnsi="Times New Roman"/>
          <w:sz w:val="20"/>
          <w:u w:val="single"/>
        </w:rPr>
        <w:t>Exhibit B</w:t>
      </w:r>
      <w:r>
        <w:rPr>
          <w:rFonts w:ascii="Times New Roman" w:hAnsi="Times New Roman"/>
          <w:sz w:val="20"/>
        </w:rPr>
        <w:t xml:space="preserve"> (“</w:t>
      </w:r>
      <w:r>
        <w:rPr>
          <w:rFonts w:ascii="Times New Roman" w:hAnsi="Times New Roman"/>
          <w:b/>
          <w:sz w:val="20"/>
        </w:rPr>
        <w:t>Supernus Voting Agreements</w:t>
      </w:r>
      <w:r>
        <w:rPr>
          <w:rFonts w:ascii="Times New Roman" w:hAnsi="Times New Roman"/>
          <w:sz w:val="20"/>
        </w:rPr>
        <w:t xml:space="preserve">”), agreeing to certain matters with respect to the Merger and the other transactions contemplated by this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representations and warranties and mutual covenants contained herein and of other good and valuable consideration, the receipt and sufficiency of which are hereby acknowledged, and intending to be legally bound,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For purposes hereof, the following terms, when used herein with initial capital letters, shall have the respective meanings set forth herein: </w:t>
      </w:r>
    </w:p>
    <w:p>
      <w:pPr>
        <w:pStyle w:val="TextBody"/>
        <w:bidi w:val="0"/>
        <w:spacing w:before="120" w:after="0"/>
        <w:jc w:val="left"/>
        <w:rPr/>
      </w:pPr>
      <w:r>
        <w:rPr/>
        <w:t>“</w:t>
      </w:r>
      <w:r>
        <w:rPr>
          <w:rFonts w:ascii="Times New Roman" w:hAnsi="Times New Roman"/>
          <w:b/>
          <w:sz w:val="20"/>
        </w:rPr>
        <w:t>Acceptable Confidentiality Agreement</w:t>
      </w:r>
      <w:r>
        <w:rPr>
          <w:rFonts w:ascii="Times New Roman" w:hAnsi="Times New Roman"/>
          <w:sz w:val="20"/>
        </w:rPr>
        <w:t xml:space="preserve">” has the meaning set forth in </w:t>
      </w:r>
      <w:r>
        <w:rPr>
          <w:rFonts w:ascii="Times New Roman" w:hAnsi="Times New Roman"/>
          <w:sz w:val="20"/>
          <w:u w:val="single"/>
        </w:rPr>
        <w:t>Section 6.4(a)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Acquisition Proposal</w:t>
      </w:r>
      <w:r>
        <w:rPr>
          <w:rFonts w:ascii="Times New Roman" w:hAnsi="Times New Roman"/>
          <w:sz w:val="20"/>
        </w:rPr>
        <w:t xml:space="preserve">”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Action</w:t>
      </w:r>
      <w:r>
        <w:rPr>
          <w:rFonts w:ascii="Times New Roman" w:hAnsi="Times New Roman"/>
          <w:sz w:val="20"/>
        </w:rPr>
        <w:t xml:space="preserve">” means any claim, demand, notice, action, suit, arbitration, proceeding, audit or investigation.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Alternative Closing Cash Dividend</w:t>
      </w:r>
      <w:r>
        <w:rPr>
          <w:rFonts w:ascii="Times New Roman" w:hAnsi="Times New Roman"/>
          <w:sz w:val="20"/>
        </w:rPr>
        <w:t xml:space="preserve">” has the meaning set forth in </w:t>
      </w:r>
      <w:r>
        <w:rPr>
          <w:rFonts w:ascii="Times New Roman" w:hAnsi="Times New Roman"/>
          <w:sz w:val="20"/>
          <w:u w:val="single"/>
        </w:rPr>
        <w:t>Section 6.16(b)(i)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Dividend</w:t>
      </w:r>
      <w:r>
        <w:rPr>
          <w:rFonts w:ascii="Times New Roman" w:hAnsi="Times New Roman"/>
          <w:sz w:val="20"/>
        </w:rPr>
        <w:t xml:space="preserve">” has the meaning set forth in </w:t>
      </w:r>
      <w:r>
        <w:rPr>
          <w:rFonts w:ascii="Times New Roman" w:hAnsi="Times New Roman"/>
          <w:sz w:val="20"/>
          <w:u w:val="single"/>
        </w:rPr>
        <w:t>Section 6.16(b)(i)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Dividend Right</w:t>
      </w:r>
      <w:r>
        <w:rPr>
          <w:rFonts w:ascii="Times New Roman" w:hAnsi="Times New Roman"/>
          <w:sz w:val="20"/>
        </w:rPr>
        <w:t xml:space="preserve">” has the meaning set forth in </w:t>
      </w:r>
      <w:r>
        <w:rPr>
          <w:rFonts w:ascii="Times New Roman" w:hAnsi="Times New Roman"/>
          <w:sz w:val="20"/>
          <w:u w:val="single"/>
        </w:rPr>
        <w:t>Section 6.16(b)(i)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Dividend Scenario</w:t>
      </w:r>
      <w:r>
        <w:rPr>
          <w:rFonts w:ascii="Times New Roman" w:hAnsi="Times New Roman"/>
          <w:sz w:val="20"/>
        </w:rPr>
        <w:t xml:space="preserve">” has the meaning set forth in </w:t>
      </w:r>
      <w:r>
        <w:rPr>
          <w:rFonts w:ascii="Times New Roman" w:hAnsi="Times New Roman"/>
          <w:sz w:val="20"/>
          <w:u w:val="single"/>
        </w:rPr>
        <w:t>Section 6.17(j)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Financing</w:t>
      </w:r>
      <w:r>
        <w:rPr>
          <w:rFonts w:ascii="Times New Roman" w:hAnsi="Times New Roman"/>
          <w:sz w:val="20"/>
        </w:rPr>
        <w:t xml:space="preserve">” has the meaning set forth in </w:t>
      </w:r>
      <w:r>
        <w:rPr>
          <w:rFonts w:ascii="Times New Roman" w:hAnsi="Times New Roman"/>
          <w:sz w:val="20"/>
          <w:u w:val="single"/>
        </w:rPr>
        <w:t>Section 6.17(f)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the U.S. Foreign Corrupt Practices Act of 1977, as amended, the U.K. Bribery Act 2010, and all other applicable anti-corruption/anti-bribery Laws. </w:t>
      </w:r>
    </w:p>
    <w:p>
      <w:pPr>
        <w:pStyle w:val="TextBody"/>
        <w:bidi w:val="0"/>
        <w:spacing w:before="240" w:after="0"/>
        <w:jc w:val="left"/>
        <w:rPr/>
      </w:pPr>
      <w:r>
        <w:rPr/>
        <w:t>“</w:t>
      </w:r>
      <w:r>
        <w:rPr>
          <w:rFonts w:ascii="Times New Roman" w:hAnsi="Times New Roman"/>
          <w:b/>
          <w:sz w:val="20"/>
        </w:rPr>
        <w:t>Antitrust Laws</w:t>
      </w:r>
      <w:r>
        <w:rPr>
          <w:rFonts w:ascii="Times New Roman" w:hAnsi="Times New Roman"/>
          <w:sz w:val="20"/>
        </w:rPr>
        <w:t xml:space="preserve">”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 </w:t>
      </w:r>
    </w:p>
    <w:p>
      <w:pPr>
        <w:pStyle w:val="TextBody"/>
        <w:bidi w:val="0"/>
        <w:spacing w:before="240" w:after="0"/>
        <w:jc w:val="left"/>
        <w:rPr/>
      </w:pPr>
      <w:r>
        <w:rPr/>
        <w:t>“</w:t>
      </w:r>
      <w:r>
        <w:rPr>
          <w:rFonts w:ascii="Times New Roman" w:hAnsi="Times New Roman"/>
          <w:b/>
          <w:sz w:val="20"/>
        </w:rPr>
        <w:t>Average Indivior Stock Price</w:t>
      </w:r>
      <w:r>
        <w:rPr>
          <w:rFonts w:ascii="Times New Roman" w:hAnsi="Times New Roman"/>
          <w:sz w:val="20"/>
        </w:rPr>
        <w:t xml:space="preserve">” shall mean the volume weighted average trading price per Indivior Share on Nasdaq (as reported by Bloomberg L.P. or, if not reported therein, in another authoritative source mutually selected by the parties) for the five (5) consecutive Trading Days ending on (and including) the Trading Day that is three Trading Days prior to the date of the Effective Time. </w:t>
      </w:r>
    </w:p>
    <w:p>
      <w:pPr>
        <w:pStyle w:val="TextBody"/>
        <w:bidi w:val="0"/>
        <w:spacing w:before="240" w:after="0"/>
        <w:jc w:val="left"/>
        <w:rPr/>
      </w:pPr>
      <w:r>
        <w:rPr/>
        <w:t>“</w:t>
      </w:r>
      <w:r>
        <w:rPr>
          <w:rFonts w:ascii="Times New Roman" w:hAnsi="Times New Roman"/>
          <w:b/>
          <w:sz w:val="20"/>
        </w:rPr>
        <w:t>Book-Entry Share</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is not a Saturday, a Sunday or a day on which banks are closed in New York, New York. </w:t>
      </w:r>
    </w:p>
    <w:p>
      <w:pPr>
        <w:pStyle w:val="TextBody"/>
        <w:bidi w:val="0"/>
        <w:spacing w:before="240" w:after="0"/>
        <w:jc w:val="left"/>
        <w:rPr/>
      </w:pPr>
      <w:r>
        <w:rPr/>
        <w:t>“</w:t>
      </w:r>
      <w:r>
        <w:rPr>
          <w:rFonts w:ascii="Times New Roman" w:hAnsi="Times New Roman"/>
          <w:b/>
          <w:sz w:val="20"/>
        </w:rPr>
        <w:t>Capital Leases</w:t>
      </w:r>
      <w:r>
        <w:rPr>
          <w:rFonts w:ascii="Times New Roman" w:hAnsi="Times New Roman"/>
          <w:sz w:val="20"/>
        </w:rPr>
        <w:t xml:space="preserve">” means all obligations for capital leases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CERCLA</w:t>
      </w:r>
      <w:r>
        <w:rPr>
          <w:rFonts w:ascii="Times New Roman" w:hAnsi="Times New Roman"/>
          <w:sz w:val="20"/>
        </w:rPr>
        <w:t xml:space="preserve">” means the Comprehensive Environmental Response, Compensation and Liability Act of 1980. </w:t>
      </w:r>
    </w:p>
    <w:p>
      <w:pPr>
        <w:pStyle w:val="TextBody"/>
        <w:bidi w:val="0"/>
        <w:spacing w:before="240" w:after="0"/>
        <w:jc w:val="left"/>
        <w:rPr/>
      </w:pPr>
      <w:r>
        <w:rPr/>
        <w:t>“</w:t>
      </w:r>
      <w:r>
        <w:rPr>
          <w:rFonts w:ascii="Times New Roman" w:hAnsi="Times New Roman"/>
          <w:b/>
          <w:sz w:val="20"/>
        </w:rPr>
        <w:t>Certificate of Merger</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b/>
          <w:sz w:val="20"/>
        </w:rPr>
        <w:t>Combined Company</w:t>
      </w:r>
      <w:r>
        <w:rPr>
          <w:rFonts w:ascii="Times New Roman" w:hAnsi="Times New Roman"/>
          <w:sz w:val="20"/>
        </w:rPr>
        <w:t xml:space="preserve">” means Indivior (to be known as Supernus, Inc., the name to be adopted in accordance with </w:t>
      </w:r>
      <w:r>
        <w:rPr>
          <w:rFonts w:ascii="Times New Roman" w:hAnsi="Times New Roman"/>
          <w:sz w:val="20"/>
          <w:u w:val="single"/>
        </w:rPr>
        <w:t>Section 2.5(a)</w:t>
      </w:r>
      <w:r>
        <w:rPr>
          <w:rFonts w:ascii="Times New Roman" w:hAnsi="Times New Roman"/>
          <w:sz w:val="20"/>
        </w:rPr>
        <w:t xml:space="preserve">) following the consummation of the Merger. </w:t>
      </w:r>
    </w:p>
    <w:p>
      <w:pPr>
        <w:pStyle w:val="TextBody"/>
        <w:bidi w:val="0"/>
        <w:spacing w:before="240" w:after="0"/>
        <w:jc w:val="left"/>
        <w:rPr/>
      </w:pPr>
      <w:r>
        <w:rPr/>
        <w:t>“</w:t>
      </w:r>
      <w:r>
        <w:rPr>
          <w:rFonts w:ascii="Times New Roman" w:hAnsi="Times New Roman"/>
          <w:b/>
          <w:sz w:val="20"/>
        </w:rPr>
        <w:t>Combined Company Board</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Commitment Letter</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Committed Financing</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Confidentiality Agreement</w:t>
      </w:r>
      <w:r>
        <w:rPr>
          <w:rFonts w:ascii="Times New Roman" w:hAnsi="Times New Roman"/>
          <w:sz w:val="20"/>
        </w:rPr>
        <w:t xml:space="preserve">” means the Mutual Confidentiality Agreement, dated March 30, 2026, by and between Indivior and Supernus. </w:t>
      </w:r>
    </w:p>
    <w:p>
      <w:pPr>
        <w:pStyle w:val="TextBody"/>
        <w:bidi w:val="0"/>
        <w:spacing w:before="240" w:after="0"/>
        <w:jc w:val="left"/>
        <w:rPr/>
      </w:pPr>
      <w:r>
        <w:rPr/>
        <w:t>“</w:t>
      </w:r>
      <w:r>
        <w:rPr>
          <w:rFonts w:ascii="Times New Roman" w:hAnsi="Times New Roman"/>
          <w:b/>
          <w:sz w:val="20"/>
        </w:rPr>
        <w:t>Contingent Continuing Employee</w:t>
      </w:r>
      <w:r>
        <w:rPr>
          <w:rFonts w:ascii="Times New Roman" w:hAnsi="Times New Roman"/>
          <w:sz w:val="20"/>
        </w:rPr>
        <w:t xml:space="preserve">” has the meaning set forth in </w:t>
      </w:r>
      <w:r>
        <w:rPr>
          <w:rFonts w:ascii="Times New Roman" w:hAnsi="Times New Roman"/>
          <w:sz w:val="20"/>
          <w:u w:val="single"/>
        </w:rPr>
        <w:t>Section 6.6(a)(iv)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 </w:t>
      </w:r>
    </w:p>
    <w:p>
      <w:pPr>
        <w:pStyle w:val="TextBody"/>
        <w:bidi w:val="0"/>
        <w:spacing w:before="240" w:after="0"/>
        <w:jc w:val="left"/>
        <w:rPr/>
      </w:pPr>
      <w:r>
        <w:rPr/>
        <w:t>“</w:t>
      </w:r>
      <w:r>
        <w:rPr>
          <w:rFonts w:ascii="Times New Roman" w:hAnsi="Times New Roman"/>
          <w:b/>
          <w:sz w:val="20"/>
        </w:rPr>
        <w:t>COVID-19</w:t>
      </w:r>
      <w:r>
        <w:rPr>
          <w:rFonts w:ascii="Times New Roman" w:hAnsi="Times New Roman"/>
          <w:sz w:val="20"/>
        </w:rPr>
        <w:t xml:space="preserve">” means SARS-CoV-2 or COVID-19, and any mutations or variations thereof (including any directly related health conditions). </w:t>
      </w:r>
    </w:p>
    <w:p>
      <w:pPr>
        <w:pStyle w:val="TextBody"/>
        <w:bidi w:val="0"/>
        <w:spacing w:before="240" w:after="0"/>
        <w:jc w:val="left"/>
        <w:rPr/>
      </w:pPr>
      <w:r>
        <w:rPr/>
        <w:t>“</w:t>
      </w:r>
      <w:r>
        <w:rPr>
          <w:rFonts w:ascii="Times New Roman" w:hAnsi="Times New Roman"/>
          <w:b/>
          <w:sz w:val="20"/>
        </w:rPr>
        <w:t>DEA</w:t>
      </w:r>
      <w:r>
        <w:rPr>
          <w:rFonts w:ascii="Times New Roman" w:hAnsi="Times New Roman"/>
          <w:sz w:val="20"/>
        </w:rPr>
        <w:t xml:space="preserve">” means the Drug Enforcement Administration or any successor agency thereto. </w:t>
      </w:r>
    </w:p>
    <w:p>
      <w:pPr>
        <w:pStyle w:val="TextBody"/>
        <w:bidi w:val="0"/>
        <w:spacing w:before="240" w:after="0"/>
        <w:jc w:val="left"/>
        <w:rPr/>
      </w:pPr>
      <w:r>
        <w:rPr/>
        <w:t>“</w:t>
      </w:r>
      <w:r>
        <w:rPr>
          <w:rFonts w:ascii="Times New Roman" w:hAnsi="Times New Roman"/>
          <w:b/>
          <w:sz w:val="20"/>
        </w:rPr>
        <w:t>Defaulting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w:t>
      </w:r>
    </w:p>
    <w:p>
      <w:pPr>
        <w:pStyle w:val="TextBody"/>
        <w:bidi w:val="0"/>
        <w:spacing w:before="240" w:after="0"/>
        <w:jc w:val="left"/>
        <w:rPr/>
      </w:pPr>
      <w:r>
        <w:rPr/>
        <w:t>“</w:t>
      </w:r>
      <w:r>
        <w:rPr>
          <w:rFonts w:ascii="Times New Roman" w:hAnsi="Times New Roman"/>
          <w:b/>
          <w:sz w:val="20"/>
        </w:rPr>
        <w:t>DPR Agreement</w:t>
      </w:r>
      <w:r>
        <w:rPr>
          <w:rFonts w:ascii="Times New Roman" w:hAnsi="Times New Roman"/>
          <w:sz w:val="20"/>
        </w:rPr>
        <w:t xml:space="preserve">” has the meaning set forth in Section 6.16(b)(i).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has the meaning set forth in the definition of “</w:t>
      </w:r>
      <w:r>
        <w:rPr>
          <w:rFonts w:ascii="Times New Roman" w:hAnsi="Times New Roman"/>
          <w:b/>
          <w:sz w:val="20"/>
        </w:rPr>
        <w:t>Material Adverse Effect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Employees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Environmental Laws</w:t>
      </w:r>
      <w:r>
        <w:rPr>
          <w:rFonts w:ascii="Times New Roman" w:hAnsi="Times New Roman"/>
          <w:sz w:val="20"/>
        </w:rPr>
        <w:t xml:space="preserve">”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release, control, or cleanup of any Hazardous Substances, as such of the foregoing are promulgated and in effect on or prior to the Closing Date, and all authorizations, licenses and permits issued or required to be issued thereunder.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or any successor federal statute thereto and the rules and regulations promulgated thereunder.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entity, trade or business that is, or at any applicable time was, a member of a group described in Section 414(b), (c), (m) or (o) of the Code or Section 4001(b)(1) of ERISA that includes Supernus or Indivior, as applicable.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and the rules and regulations of the SEC promulgated thereunder. </w:t>
      </w:r>
    </w:p>
    <w:p>
      <w:pPr>
        <w:pStyle w:val="TextBody"/>
        <w:bidi w:val="0"/>
        <w:spacing w:before="240" w:after="0"/>
        <w:jc w:val="left"/>
        <w:rPr/>
      </w:pPr>
      <w:r>
        <w:rPr/>
        <w:t>“</w:t>
      </w:r>
      <w:r>
        <w:rPr>
          <w:rFonts w:ascii="Times New Roman" w:hAnsi="Times New Roman"/>
          <w:b/>
          <w:sz w:val="20"/>
        </w:rPr>
        <w:t>Exchange Agency Agreement</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Agent</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Fund</w:t>
      </w:r>
      <w:r>
        <w:rPr>
          <w:rFonts w:ascii="Times New Roman" w:hAnsi="Times New Roman"/>
          <w:sz w:val="20"/>
        </w:rPr>
        <w:t xml:space="preserve">” has the meaning set forth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Ratio</w:t>
      </w:r>
      <w:r>
        <w:rPr>
          <w:rFonts w:ascii="Times New Roman" w:hAnsi="Times New Roman"/>
          <w:sz w:val="20"/>
        </w:rPr>
        <w:t xml:space="preserve">” has the meaning set forth in </w:t>
      </w:r>
      <w:r>
        <w:rPr>
          <w:rFonts w:ascii="Times New Roman" w:hAnsi="Times New Roman"/>
          <w:sz w:val="20"/>
          <w:u w:val="single"/>
        </w:rPr>
        <w:t>Section 2.8(a)(ii)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Excluded Party Listing</w:t>
      </w:r>
      <w:r>
        <w:rPr>
          <w:rFonts w:ascii="Times New Roman" w:hAnsi="Times New Roman"/>
          <w:sz w:val="20"/>
        </w:rPr>
        <w:t xml:space="preserve">” means a Governmental Body’s nonprocurement or procurement debarment and suspension system that records the most current information about persons who are excluded or disqualified from contracting with or receiving funding from a Governmental Body. </w:t>
      </w:r>
    </w:p>
    <w:p>
      <w:pPr>
        <w:pStyle w:val="TextBody"/>
        <w:bidi w:val="0"/>
        <w:spacing w:before="240" w:after="0"/>
        <w:jc w:val="left"/>
        <w:rPr/>
      </w:pPr>
      <w:r>
        <w:rPr/>
        <w:t>“</w:t>
      </w:r>
      <w:r>
        <w:rPr>
          <w:rFonts w:ascii="Times New Roman" w:hAnsi="Times New Roman"/>
          <w:b/>
          <w:sz w:val="20"/>
        </w:rPr>
        <w:t>Excluded Shares</w:t>
      </w:r>
      <w:r>
        <w:rPr>
          <w:rFonts w:ascii="Times New Roman" w:hAnsi="Times New Roman"/>
          <w:sz w:val="20"/>
        </w:rPr>
        <w:t xml:space="preserve">” has the meaning set forth in </w:t>
      </w:r>
      <w:r>
        <w:rPr>
          <w:rFonts w:ascii="Times New Roman" w:hAnsi="Times New Roman"/>
          <w:sz w:val="20"/>
          <w:u w:val="single"/>
        </w:rPr>
        <w:t>Section 2.8(a)(i)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FAR</w:t>
      </w:r>
      <w:r>
        <w:rPr>
          <w:rFonts w:ascii="Times New Roman" w:hAnsi="Times New Roman"/>
          <w:sz w:val="20"/>
        </w:rPr>
        <w:t xml:space="preserve">” has the meaning set forth in </w:t>
      </w:r>
      <w:r>
        <w:rPr>
          <w:rFonts w:ascii="Times New Roman" w:hAnsi="Times New Roman"/>
          <w:sz w:val="20"/>
          <w:u w:val="single"/>
        </w:rPr>
        <w:t>Section 3.23(a)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FDA</w:t>
      </w:r>
      <w:r>
        <w:rPr>
          <w:rFonts w:ascii="Times New Roman" w:hAnsi="Times New Roman"/>
          <w:sz w:val="20"/>
        </w:rPr>
        <w:t xml:space="preserve">” means the U.S. Food and Drug Administration or any successor agency thereto. </w:t>
      </w:r>
    </w:p>
    <w:p>
      <w:pPr>
        <w:pStyle w:val="TextBody"/>
        <w:bidi w:val="0"/>
        <w:spacing w:before="240" w:after="0"/>
        <w:jc w:val="left"/>
        <w:rPr/>
      </w:pPr>
      <w:r>
        <w:rPr/>
        <w:t>“</w:t>
      </w:r>
      <w:r>
        <w:rPr>
          <w:rFonts w:ascii="Times New Roman" w:hAnsi="Times New Roman"/>
          <w:b/>
          <w:sz w:val="20"/>
        </w:rPr>
        <w:t>FDA Fraud Policy</w:t>
      </w:r>
      <w:r>
        <w:rPr>
          <w:rFonts w:ascii="Times New Roman" w:hAnsi="Times New Roman"/>
          <w:sz w:val="20"/>
        </w:rPr>
        <w:t xml:space="preserve">” means the “Fraud, Untrue Statements of Material Facts, Bribery, and Illegal Gratuities” Final Policy set forth in 56 Fed. Reg. 46,191 (September 10, 1991) and any amendments thereto.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 Consent Rights</w:t>
      </w:r>
      <w:r>
        <w:rPr>
          <w:rFonts w:ascii="Times New Roman" w:hAnsi="Times New Roman"/>
          <w:sz w:val="20"/>
        </w:rPr>
        <w:t xml:space="preserve">” has the meaning set forth in </w:t>
      </w:r>
      <w:r>
        <w:rPr>
          <w:rFonts w:ascii="Times New Roman" w:hAnsi="Times New Roman"/>
          <w:sz w:val="20"/>
          <w:u w:val="single"/>
        </w:rPr>
        <w:t>Section 6.17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Financing Sources</w:t>
      </w:r>
      <w:r>
        <w:rPr>
          <w:rFonts w:ascii="Times New Roman" w:hAnsi="Times New Roman"/>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 w:hAnsi="Times New Roman"/>
          <w:sz w:val="20"/>
          <w:u w:val="single"/>
        </w:rPr>
        <w:t>Section 6.17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Forum</w:t>
      </w:r>
      <w:r>
        <w:rPr>
          <w:rFonts w:ascii="Times New Roman" w:hAnsi="Times New Roman"/>
          <w:sz w:val="20"/>
        </w:rPr>
        <w:t xml:space="preserve">” has the meaning set forth in </w:t>
      </w:r>
      <w:r>
        <w:rPr>
          <w:rFonts w:ascii="Times New Roman" w:hAnsi="Times New Roman"/>
          <w:sz w:val="20"/>
          <w:u w:val="single"/>
        </w:rPr>
        <w:t>Section 9.6(b)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Fraud</w:t>
      </w:r>
      <w:r>
        <w:rPr>
          <w:rFonts w:ascii="Times New Roman" w:hAnsi="Times New Roman"/>
          <w:sz w:val="20"/>
        </w:rPr>
        <w:t xml:space="preserve">” means actual and intentional fraud under the common law of Delaware;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t>
      </w:r>
      <w:r>
        <w:rPr>
          <w:rFonts w:ascii="Times New Roman" w:hAnsi="Times New Roman"/>
          <w:b/>
          <w:sz w:val="20"/>
        </w:rPr>
        <w:t>Fraud</w:t>
      </w:r>
      <w:r>
        <w:rPr>
          <w:rFonts w:ascii="Times New Roman" w:hAnsi="Times New Roman"/>
          <w:sz w:val="20"/>
        </w:rPr>
        <w:t xml:space="preserve">” shall not include any fraud claim based on constructive knowledge, negligent misrepresentation, recklessness, or other similar theory. </w:t>
      </w:r>
    </w:p>
    <w:p>
      <w:pPr>
        <w:pStyle w:val="TextBody"/>
        <w:bidi w:val="0"/>
        <w:spacing w:before="240" w:after="0"/>
        <w:jc w:val="left"/>
        <w:rPr/>
      </w:pPr>
      <w:r>
        <w:rPr/>
        <w:t>“</w:t>
      </w:r>
      <w:r>
        <w:rPr>
          <w:rFonts w:ascii="Times New Roman" w:hAnsi="Times New Roman"/>
          <w:b/>
          <w:sz w:val="20"/>
        </w:rPr>
        <w:t>FTC</w:t>
      </w:r>
      <w:r>
        <w:rPr>
          <w:rFonts w:ascii="Times New Roman" w:hAnsi="Times New Roman"/>
          <w:sz w:val="20"/>
        </w:rPr>
        <w:t xml:space="preserve">” means the United States Federal Trade Commission. </w:t>
      </w:r>
    </w:p>
    <w:p>
      <w:pPr>
        <w:pStyle w:val="TextBody"/>
        <w:bidi w:val="0"/>
        <w:spacing w:before="240" w:after="0"/>
        <w:jc w:val="left"/>
        <w:rPr/>
      </w:pPr>
      <w:r>
        <w:rPr/>
        <w:t>“</w:t>
      </w:r>
      <w:r>
        <w:rPr>
          <w:rFonts w:ascii="Times New Roman" w:hAnsi="Times New Roman"/>
          <w:b/>
          <w:sz w:val="20"/>
        </w:rPr>
        <w:t>FTC Order</w:t>
      </w:r>
      <w:r>
        <w:rPr>
          <w:rFonts w:ascii="Times New Roman" w:hAnsi="Times New Roman"/>
          <w:sz w:val="20"/>
        </w:rPr>
        <w:t xml:space="preserve">” means the Stipulated Order for Permanent Injunction and Equitable Monetary Relief entered on November 20, 2020 by the United States District Court for the Western District of Virginia in </w:t>
      </w:r>
      <w:r>
        <w:rPr>
          <w:rFonts w:ascii="Times New Roman" w:hAnsi="Times New Roman"/>
          <w:i/>
          <w:sz w:val="20"/>
        </w:rPr>
        <w:t>Federal Trade Commission v. Indivior Inc.</w:t>
      </w:r>
      <w:r>
        <w:rPr>
          <w:rFonts w:ascii="Times New Roman" w:hAnsi="Times New Roman"/>
          <w:sz w:val="20"/>
        </w:rPr>
        <w:t xml:space="preserve">,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U.S. generally accepted accounting principles as in effect on the date hereof, applied in a manner consistent with Supernus’ or Indivior’s past practice, as applicable. </w:t>
      </w:r>
    </w:p>
    <w:p>
      <w:pPr>
        <w:pStyle w:val="TextBody"/>
        <w:bidi w:val="0"/>
        <w:spacing w:before="240" w:after="0"/>
        <w:jc w:val="left"/>
        <w:rPr/>
      </w:pPr>
      <w:r>
        <w:rPr/>
        <w:t>“</w:t>
      </w:r>
      <w:r>
        <w:rPr>
          <w:rFonts w:ascii="Times New Roman" w:hAnsi="Times New Roman"/>
          <w:b/>
          <w:sz w:val="20"/>
        </w:rPr>
        <w:t>Good Clinical Practices</w:t>
      </w:r>
      <w:r>
        <w:rPr>
          <w:rFonts w:ascii="Times New Roman" w:hAnsi="Times New Roman"/>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 w:hAnsi="Times New Roman"/>
          <w:b/>
          <w:sz w:val="20"/>
        </w:rPr>
        <w:t>ICH</w:t>
      </w:r>
      <w:r>
        <w:rPr>
          <w:rFonts w:ascii="Times New Roman" w:hAnsi="Times New Roman"/>
          <w:sz w:val="20"/>
        </w:rPr>
        <w:t xml:space="preserve">”) Guideline for Good Clinical Practice, and any similar state, local or foreign Laws, as applicable. </w:t>
      </w:r>
    </w:p>
    <w:p>
      <w:pPr>
        <w:pStyle w:val="TextBody"/>
        <w:bidi w:val="0"/>
        <w:spacing w:before="240" w:after="0"/>
        <w:jc w:val="left"/>
        <w:rPr/>
      </w:pPr>
      <w:r>
        <w:rPr/>
        <w:t>“</w:t>
      </w:r>
      <w:r>
        <w:rPr>
          <w:rFonts w:ascii="Times New Roman" w:hAnsi="Times New Roman"/>
          <w:b/>
          <w:sz w:val="20"/>
        </w:rPr>
        <w:t>Good Laboratory Practices</w:t>
      </w:r>
      <w:r>
        <w:rPr>
          <w:rFonts w:ascii="Times New Roman" w:hAnsi="Times New Roman"/>
          <w:sz w:val="20"/>
        </w:rPr>
        <w:t xml:space="preserve">”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 </w:t>
      </w:r>
    </w:p>
    <w:p>
      <w:pPr>
        <w:pStyle w:val="TextBody"/>
        <w:bidi w:val="0"/>
        <w:spacing w:before="240" w:after="0"/>
        <w:jc w:val="left"/>
        <w:rPr/>
      </w:pPr>
      <w:r>
        <w:rPr/>
        <w:t>“</w:t>
      </w:r>
      <w:r>
        <w:rPr>
          <w:rFonts w:ascii="Times New Roman" w:hAnsi="Times New Roman"/>
          <w:b/>
          <w:sz w:val="20"/>
        </w:rPr>
        <w:t>Good Manufacturing Practices</w:t>
      </w:r>
      <w:r>
        <w:rPr>
          <w:rFonts w:ascii="Times New Roman" w:hAnsi="Times New Roman"/>
          <w:sz w:val="20"/>
        </w:rPr>
        <w:t xml:space="preserve">”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 </w:t>
      </w:r>
    </w:p>
    <w:p>
      <w:pPr>
        <w:pStyle w:val="TextBody"/>
        <w:bidi w:val="0"/>
        <w:spacing w:before="240" w:after="0"/>
        <w:jc w:val="left"/>
        <w:rPr/>
      </w:pPr>
      <w:r>
        <w:rPr/>
        <w:t>“</w:t>
      </w:r>
      <w:r>
        <w:rPr>
          <w:rFonts w:ascii="Times New Roman" w:hAnsi="Times New Roman"/>
          <w:b/>
          <w:sz w:val="20"/>
        </w:rPr>
        <w:t>Government Bid</w:t>
      </w:r>
      <w:r>
        <w:rPr>
          <w:rFonts w:ascii="Times New Roman" w:hAnsi="Times New Roman"/>
          <w:sz w:val="20"/>
        </w:rPr>
        <w:t xml:space="preserve">” means any offer made by Supernus or Indivior, as applicable, or any of their respective Affiliates (including their respective Subsidiaries) prior to the Closing Date which, if accepted, would result in a Government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Governmental Body</w:t>
      </w:r>
      <w:r>
        <w:rPr>
          <w:rFonts w:ascii="Times New Roman" w:hAnsi="Times New Roman"/>
          <w:sz w:val="20"/>
        </w:rPr>
        <w:t xml:space="preserve">” means any federal, state, provincial, local, municipal, foreign or other government or supranational authority or any department, minister, agency, commission, commissioner, board, subdivision, bureau, agency, instrumentality, court, arbitrator or other tribunal of any of the foregoing. </w:t>
      </w:r>
    </w:p>
    <w:p>
      <w:pPr>
        <w:pStyle w:val="TextBody"/>
        <w:bidi w:val="0"/>
        <w:spacing w:before="240" w:after="0"/>
        <w:jc w:val="left"/>
        <w:rPr/>
      </w:pPr>
      <w:r>
        <w:rPr/>
        <w:t>“</w:t>
      </w:r>
      <w:r>
        <w:rPr>
          <w:rFonts w:ascii="Times New Roman" w:hAnsi="Times New Roman"/>
          <w:b/>
          <w:sz w:val="20"/>
        </w:rPr>
        <w:t>Government Contract</w:t>
      </w:r>
      <w:r>
        <w:rPr>
          <w:rFonts w:ascii="Times New Roman" w:hAnsi="Times New Roman"/>
          <w:sz w:val="20"/>
        </w:rPr>
        <w:t xml:space="preserve">”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 </w:t>
      </w:r>
    </w:p>
    <w:p>
      <w:pPr>
        <w:pStyle w:val="TextBody"/>
        <w:bidi w:val="0"/>
        <w:spacing w:before="240" w:after="0"/>
        <w:jc w:val="left"/>
        <w:rPr/>
      </w:pPr>
      <w:r>
        <w:rPr/>
        <w:t>“</w:t>
      </w:r>
      <w:r>
        <w:rPr>
          <w:rFonts w:ascii="Times New Roman" w:hAnsi="Times New Roman"/>
          <w:b/>
          <w:sz w:val="20"/>
        </w:rPr>
        <w:t>Hazardous Substance</w:t>
      </w:r>
      <w:r>
        <w:rPr>
          <w:rFonts w:ascii="Times New Roman" w:hAnsi="Times New Roman"/>
          <w:sz w:val="20"/>
        </w:rPr>
        <w:t xml:space="preserve">”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 </w:t>
      </w:r>
    </w:p>
    <w:p>
      <w:pPr>
        <w:pStyle w:val="TextBody"/>
        <w:bidi w:val="0"/>
        <w:spacing w:before="240" w:after="0"/>
        <w:jc w:val="left"/>
        <w:rPr/>
      </w:pPr>
      <w:r>
        <w:rPr/>
        <w:t>“</w:t>
      </w:r>
      <w:r>
        <w:rPr>
          <w:rFonts w:ascii="Times New Roman" w:hAnsi="Times New Roman"/>
          <w:b/>
          <w:sz w:val="20"/>
        </w:rPr>
        <w:t>Healthcare Laws</w:t>
      </w:r>
      <w:r>
        <w:rPr>
          <w:rFonts w:ascii="Times New Roman" w:hAnsi="Times New Roman"/>
          <w:sz w:val="20"/>
        </w:rPr>
        <w:t xml:space="preserve">”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as amended, and the rules and regulations promulgated thereunder, and any successor to such statute, rules or regulations.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 </w:t>
      </w:r>
    </w:p>
    <w:p>
      <w:pPr>
        <w:pStyle w:val="TextBody"/>
        <w:bidi w:val="0"/>
        <w:spacing w:before="240" w:after="0"/>
        <w:jc w:val="left"/>
        <w:rPr/>
      </w:pPr>
      <w:r>
        <w:rPr/>
        <w:t>“</w:t>
      </w:r>
      <w:r>
        <w:rPr>
          <w:rFonts w:ascii="Times New Roman" w:hAnsi="Times New Roman"/>
          <w:b/>
          <w:sz w:val="20"/>
        </w:rPr>
        <w:t>Indemnified Parties</w:t>
      </w:r>
      <w:r>
        <w:rPr>
          <w:rFonts w:ascii="Times New Roman" w:hAnsi="Times New Roman"/>
          <w:sz w:val="20"/>
        </w:rPr>
        <w:t xml:space="preserve">” has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Indivior 401(k) Plan</w:t>
      </w:r>
      <w:r>
        <w:rPr>
          <w:rFonts w:ascii="Times New Roman" w:hAnsi="Times New Roman"/>
          <w:sz w:val="20"/>
        </w:rPr>
        <w:t xml:space="preserve">” has the meaning set forth in </w:t>
      </w:r>
      <w:r>
        <w:rPr>
          <w:rFonts w:ascii="Times New Roman" w:hAnsi="Times New Roman"/>
          <w:sz w:val="20"/>
          <w:u w:val="single"/>
        </w:rPr>
        <w:t>Section 6.6(a)(xi)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Adverse Recommendation Change</w:t>
      </w:r>
      <w:r>
        <w:rPr>
          <w:rFonts w:ascii="Times New Roman" w:hAnsi="Times New Roman"/>
          <w:sz w:val="20"/>
        </w:rPr>
        <w:t xml:space="preserve">” has the meaning set forth in </w:t>
      </w:r>
      <w:r>
        <w:rPr>
          <w:rFonts w:ascii="Times New Roman" w:hAnsi="Times New Roman"/>
          <w:sz w:val="20"/>
          <w:u w:val="single"/>
        </w:rPr>
        <w:t>Section 6.4(e)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Balance Sheet Date</w:t>
      </w:r>
      <w:r>
        <w:rPr>
          <w:rFonts w:ascii="Times New Roman" w:hAnsi="Times New Roman"/>
          <w:sz w:val="20"/>
        </w:rPr>
        <w:t xml:space="preserve">” means December 31, 2025. </w:t>
      </w:r>
    </w:p>
    <w:p>
      <w:pPr>
        <w:pStyle w:val="TextBody"/>
        <w:bidi w:val="0"/>
        <w:spacing w:before="240" w:after="0"/>
        <w:jc w:val="left"/>
        <w:rPr/>
      </w:pPr>
      <w:r>
        <w:rPr/>
        <w:t>“</w:t>
      </w:r>
      <w:r>
        <w:rPr>
          <w:rFonts w:ascii="Times New Roman" w:hAnsi="Times New Roman"/>
          <w:b/>
          <w:sz w:val="20"/>
        </w:rPr>
        <w:t>Indivior Board</w:t>
      </w:r>
      <w:r>
        <w:rPr>
          <w:rFonts w:ascii="Times New Roman" w:hAnsi="Times New Roman"/>
          <w:sz w:val="20"/>
        </w:rPr>
        <w:t xml:space="preserve">” means the board of directors of Indivior. </w:t>
      </w:r>
    </w:p>
    <w:p>
      <w:pPr>
        <w:pStyle w:val="TextBody"/>
        <w:bidi w:val="0"/>
        <w:spacing w:before="240" w:after="0"/>
        <w:jc w:val="left"/>
        <w:rPr/>
      </w:pPr>
      <w:r>
        <w:rPr/>
        <w:t>“</w:t>
      </w:r>
      <w:r>
        <w:rPr>
          <w:rFonts w:ascii="Times New Roman" w:hAnsi="Times New Roman"/>
          <w:b/>
          <w:sz w:val="20"/>
        </w:rPr>
        <w:t>Indivior Deferred Compensation Plan</w:t>
      </w:r>
      <w:r>
        <w:rPr>
          <w:rFonts w:ascii="Times New Roman" w:hAnsi="Times New Roman"/>
          <w:sz w:val="20"/>
        </w:rPr>
        <w:t xml:space="preserve">” has the meaning set forth in Section 6.6(a)(xi). </w:t>
      </w:r>
    </w:p>
    <w:p>
      <w:pPr>
        <w:pStyle w:val="TextBody"/>
        <w:bidi w:val="0"/>
        <w:spacing w:before="240" w:after="0"/>
        <w:jc w:val="left"/>
        <w:rPr/>
      </w:pPr>
      <w:r>
        <w:rPr/>
        <w:t>“</w:t>
      </w:r>
      <w:r>
        <w:rPr>
          <w:rFonts w:ascii="Times New Roman" w:hAnsi="Times New Roman"/>
          <w:b/>
          <w:sz w:val="20"/>
        </w:rPr>
        <w:t>Indivior Designees</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Disclosure Letter</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Employees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Equity Awards</w:t>
      </w:r>
      <w:r>
        <w:rPr>
          <w:rFonts w:ascii="Times New Roman" w:hAnsi="Times New Roman"/>
          <w:sz w:val="20"/>
        </w:rPr>
        <w:t xml:space="preserve">” means each Indivior RSU and Indivior PSU.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Indivior Equity Plans</w:t>
      </w:r>
      <w:r>
        <w:rPr>
          <w:rFonts w:ascii="Times New Roman" w:hAnsi="Times New Roman"/>
          <w:sz w:val="20"/>
        </w:rPr>
        <w:t xml:space="preserve">” means Indivior’s 2026 Omnibus Equity Incentive Plan, as amended from time to time, Indivior’s 2024 Long-Term Incentive Plan, Indivior’s Long-Term Incentive Plan, and the Indivior Group Deferred Bonus Plan 2018. </w:t>
      </w:r>
    </w:p>
    <w:p>
      <w:pPr>
        <w:pStyle w:val="TextBody"/>
        <w:bidi w:val="0"/>
        <w:spacing w:before="240" w:after="0"/>
        <w:jc w:val="left"/>
        <w:rPr/>
      </w:pPr>
      <w:r>
        <w:rPr/>
        <w:t>“</w:t>
      </w:r>
      <w:r>
        <w:rPr>
          <w:rFonts w:ascii="Times New Roman" w:hAnsi="Times New Roman"/>
          <w:b/>
          <w:sz w:val="20"/>
        </w:rPr>
        <w:t>Indivior ESPP</w:t>
      </w:r>
      <w:r>
        <w:rPr>
          <w:rFonts w:ascii="Times New Roman" w:hAnsi="Times New Roman"/>
          <w:sz w:val="20"/>
        </w:rPr>
        <w:t xml:space="preserve">” means Indivior’s Amended and Restated U.S. Employee Stock Purchase Plan, as amended from time to time. </w:t>
      </w:r>
    </w:p>
    <w:p>
      <w:pPr>
        <w:pStyle w:val="TextBody"/>
        <w:bidi w:val="0"/>
        <w:spacing w:before="240" w:after="0"/>
        <w:jc w:val="left"/>
        <w:rPr/>
      </w:pPr>
      <w:r>
        <w:rPr/>
        <w:t>“</w:t>
      </w:r>
      <w:r>
        <w:rPr>
          <w:rFonts w:ascii="Times New Roman" w:hAnsi="Times New Roman"/>
          <w:b/>
          <w:sz w:val="20"/>
        </w:rPr>
        <w:t>Indivior ESPP Purchase Rights</w:t>
      </w:r>
      <w:r>
        <w:rPr>
          <w:rFonts w:ascii="Times New Roman" w:hAnsi="Times New Roman"/>
          <w:sz w:val="20"/>
        </w:rPr>
        <w:t xml:space="preserve">” means rights to acquire Indivior Shares under each Indivior ESPP. </w:t>
      </w:r>
    </w:p>
    <w:p>
      <w:pPr>
        <w:pStyle w:val="TextBody"/>
        <w:bidi w:val="0"/>
        <w:spacing w:before="240" w:after="0"/>
        <w:jc w:val="left"/>
        <w:rPr/>
      </w:pPr>
      <w:r>
        <w:rPr/>
        <w:t>“</w:t>
      </w:r>
      <w:r>
        <w:rPr>
          <w:rFonts w:ascii="Times New Roman" w:hAnsi="Times New Roman"/>
          <w:b/>
          <w:sz w:val="20"/>
        </w:rPr>
        <w:t>Indivior Fee Allocation Percentage</w:t>
      </w:r>
      <w:r>
        <w:rPr>
          <w:rFonts w:ascii="Times New Roman" w:hAnsi="Times New Roman"/>
          <w:sz w:val="20"/>
        </w:rPr>
        <w:t xml:space="preserve">” means 56.5%. </w:t>
      </w:r>
    </w:p>
    <w:p>
      <w:pPr>
        <w:pStyle w:val="TextBody"/>
        <w:bidi w:val="0"/>
        <w:spacing w:before="240" w:after="0"/>
        <w:jc w:val="left"/>
        <w:rPr/>
      </w:pPr>
      <w:r>
        <w:rPr/>
        <w:t>“</w:t>
      </w:r>
      <w:r>
        <w:rPr>
          <w:rFonts w:ascii="Times New Roman" w:hAnsi="Times New Roman"/>
          <w:b/>
          <w:sz w:val="20"/>
        </w:rPr>
        <w:t>Indivior IP Contracts”</w:t>
      </w:r>
      <w:r>
        <w:rPr>
          <w:rFonts w:ascii="Times New Roman" w:hAnsi="Times New Roman"/>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 </w:t>
      </w:r>
    </w:p>
    <w:p>
      <w:pPr>
        <w:pStyle w:val="TextBody"/>
        <w:bidi w:val="0"/>
        <w:spacing w:before="240" w:after="0"/>
        <w:jc w:val="left"/>
        <w:rPr/>
      </w:pPr>
      <w:r>
        <w:rPr/>
        <w:t>“</w:t>
      </w:r>
      <w:r>
        <w:rPr>
          <w:rFonts w:ascii="Times New Roman" w:hAnsi="Times New Roman"/>
          <w:b/>
          <w:sz w:val="20"/>
        </w:rPr>
        <w:t>Indivior Licensed Intellectual Property</w:t>
      </w:r>
      <w:r>
        <w:rPr>
          <w:rFonts w:ascii="Times New Roman" w:hAnsi="Times New Roman"/>
          <w:sz w:val="20"/>
        </w:rPr>
        <w:t xml:space="preserve">” means all Intellectual Property that is licensed to Indivior or any of its Subsidiaries by a third party. </w:t>
      </w:r>
    </w:p>
    <w:p>
      <w:pPr>
        <w:pStyle w:val="TextBody"/>
        <w:bidi w:val="0"/>
        <w:spacing w:before="240" w:after="0"/>
        <w:jc w:val="left"/>
        <w:rPr/>
      </w:pPr>
      <w:r>
        <w:rPr/>
        <w:t>“</w:t>
      </w:r>
      <w:r>
        <w:rPr>
          <w:rFonts w:ascii="Times New Roman" w:hAnsi="Times New Roman"/>
          <w:b/>
          <w:sz w:val="20"/>
        </w:rPr>
        <w:t>Indivior Licenses</w:t>
      </w:r>
      <w:r>
        <w:rPr>
          <w:rFonts w:ascii="Times New Roman" w:hAnsi="Times New Roman"/>
          <w:sz w:val="20"/>
        </w:rPr>
        <w:t xml:space="preserve">” has the meaning set forth in </w:t>
      </w:r>
      <w:r>
        <w:rPr>
          <w:rFonts w:ascii="Times New Roman" w:hAnsi="Times New Roman"/>
          <w:sz w:val="20"/>
          <w:u w:val="single"/>
        </w:rPr>
        <w:t>Section 4.23(b)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Material Adverse Effect</w:t>
      </w:r>
      <w:r>
        <w:rPr>
          <w:rFonts w:ascii="Times New Roman" w:hAnsi="Times New Roman"/>
          <w:sz w:val="20"/>
        </w:rPr>
        <w:t xml:space="preserve">” means a Material Adverse Effect of Indivior. </w:t>
      </w:r>
    </w:p>
    <w:p>
      <w:pPr>
        <w:pStyle w:val="TextBody"/>
        <w:bidi w:val="0"/>
        <w:spacing w:before="240" w:after="0"/>
        <w:jc w:val="left"/>
        <w:rPr/>
      </w:pPr>
      <w:r>
        <w:rPr/>
        <w:t>“</w:t>
      </w:r>
      <w:r>
        <w:rPr>
          <w:rFonts w:ascii="Times New Roman" w:hAnsi="Times New Roman"/>
          <w:b/>
          <w:sz w:val="20"/>
        </w:rPr>
        <w:t>Indivior Material Contract</w:t>
      </w:r>
      <w:r>
        <w:rPr>
          <w:rFonts w:ascii="Times New Roman" w:hAnsi="Times New Roman"/>
          <w:sz w:val="20"/>
        </w:rPr>
        <w:t xml:space="preserve">” has the meaning set forth in </w:t>
      </w:r>
      <w:r>
        <w:rPr>
          <w:rFonts w:ascii="Times New Roman" w:hAnsi="Times New Roman"/>
          <w:sz w:val="20"/>
          <w:u w:val="single"/>
        </w:rPr>
        <w:t>Section 4.12(c)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Non-U.S. Subs</w:t>
      </w:r>
      <w:r>
        <w:rPr>
          <w:rFonts w:ascii="Times New Roman" w:hAnsi="Times New Roman"/>
          <w:sz w:val="20"/>
        </w:rPr>
        <w:t xml:space="preserve">” has the meaning set forth in </w:t>
      </w:r>
      <w:r>
        <w:rPr>
          <w:rFonts w:ascii="Times New Roman" w:hAnsi="Times New Roman"/>
          <w:sz w:val="20"/>
          <w:u w:val="single"/>
        </w:rPr>
        <w:t>Section 6.6(b)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Notice of Change</w:t>
      </w:r>
      <w:r>
        <w:rPr>
          <w:rFonts w:ascii="Times New Roman" w:hAnsi="Times New Roman"/>
          <w:sz w:val="20"/>
        </w:rPr>
        <w:t xml:space="preserve">” has the meaning set forth in </w:t>
      </w:r>
      <w:r>
        <w:rPr>
          <w:rFonts w:ascii="Times New Roman" w:hAnsi="Times New Roman"/>
          <w:sz w:val="20"/>
          <w:u w:val="single"/>
        </w:rPr>
        <w:t>Section 6.4(f)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Owned Intellectual Property</w:t>
      </w:r>
      <w:r>
        <w:rPr>
          <w:rFonts w:ascii="Times New Roman" w:hAnsi="Times New Roman"/>
          <w:sz w:val="20"/>
        </w:rPr>
        <w:t xml:space="preserve">” means all Intellectual Property that is owned (in whole or in part) by Indivior or any of its Subsidiaries, as applicable. </w:t>
      </w:r>
    </w:p>
    <w:p>
      <w:pPr>
        <w:pStyle w:val="TextBody"/>
        <w:bidi w:val="0"/>
        <w:spacing w:before="240" w:after="0"/>
        <w:jc w:val="left"/>
        <w:rPr/>
      </w:pPr>
      <w:r>
        <w:rPr/>
        <w:t>“</w:t>
      </w:r>
      <w:r>
        <w:rPr>
          <w:rFonts w:ascii="Times New Roman" w:hAnsi="Times New Roman"/>
          <w:b/>
          <w:sz w:val="20"/>
        </w:rPr>
        <w:t>Indivior Owned Real Property</w:t>
      </w:r>
      <w:r>
        <w:rPr>
          <w:rFonts w:ascii="Times New Roman" w:hAnsi="Times New Roman"/>
          <w:sz w:val="20"/>
        </w:rPr>
        <w:t xml:space="preserve">” has the meaning set forth in </w:t>
      </w:r>
      <w:r>
        <w:rPr>
          <w:rFonts w:ascii="Times New Roman" w:hAnsi="Times New Roman"/>
          <w:sz w:val="20"/>
          <w:u w:val="single"/>
        </w:rPr>
        <w:t>Section 4.10(b)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Plan</w:t>
      </w:r>
      <w:r>
        <w:rPr>
          <w:rFonts w:ascii="Times New Roman" w:hAnsi="Times New Roman"/>
          <w:sz w:val="20"/>
        </w:rPr>
        <w:t xml:space="preserve">”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Indivior Preferred Stock</w:t>
      </w:r>
      <w:r>
        <w:rPr>
          <w:rFonts w:ascii="Times New Roman" w:hAnsi="Times New Roman"/>
          <w:sz w:val="20"/>
        </w:rPr>
        <w:t xml:space="preserve">” means a share of preferred stock of Indivior, $0.01 par value per share. </w:t>
      </w:r>
    </w:p>
    <w:p>
      <w:pPr>
        <w:pStyle w:val="TextBody"/>
        <w:bidi w:val="0"/>
        <w:spacing w:before="240" w:after="0"/>
        <w:jc w:val="left"/>
        <w:rPr/>
      </w:pPr>
      <w:r>
        <w:rPr/>
        <w:t>“</w:t>
      </w:r>
      <w:r>
        <w:rPr>
          <w:rFonts w:ascii="Times New Roman" w:hAnsi="Times New Roman"/>
          <w:b/>
          <w:sz w:val="20"/>
        </w:rPr>
        <w:t>Indivior PSU</w:t>
      </w:r>
      <w:r>
        <w:rPr>
          <w:rFonts w:ascii="Times New Roman" w:hAnsi="Times New Roman"/>
          <w:sz w:val="20"/>
        </w:rPr>
        <w:t xml:space="preserve">” means each restricted stock unit granted under an Indivior Equity Plan that is subject to performance-based vesting restrictions. </w:t>
      </w:r>
    </w:p>
    <w:p>
      <w:pPr>
        <w:pStyle w:val="TextBody"/>
        <w:bidi w:val="0"/>
        <w:spacing w:before="240" w:after="0"/>
        <w:jc w:val="left"/>
        <w:rPr/>
      </w:pPr>
      <w:r>
        <w:rPr/>
        <w:t>“</w:t>
      </w:r>
      <w:r>
        <w:rPr>
          <w:rFonts w:ascii="Times New Roman" w:hAnsi="Times New Roman"/>
          <w:b/>
          <w:sz w:val="20"/>
        </w:rPr>
        <w:t>Indivior Real Property</w:t>
      </w:r>
      <w:r>
        <w:rPr>
          <w:rFonts w:ascii="Times New Roman" w:hAnsi="Times New Roman"/>
          <w:sz w:val="20"/>
        </w:rPr>
        <w:t xml:space="preserve">” has the meaning set forth in </w:t>
      </w:r>
      <w:r>
        <w:rPr>
          <w:rFonts w:ascii="Times New Roman" w:hAnsi="Times New Roman"/>
          <w:sz w:val="20"/>
          <w:u w:val="single"/>
        </w:rPr>
        <w:t>Section 4.10(b)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Recommendation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Indivior Registered Intellectual Property</w:t>
      </w:r>
      <w:r>
        <w:rPr>
          <w:rFonts w:ascii="Times New Roman" w:hAnsi="Times New Roman"/>
          <w:sz w:val="20"/>
        </w:rPr>
        <w:t xml:space="preserve">” has the meaning set forth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RSU</w:t>
      </w:r>
      <w:r>
        <w:rPr>
          <w:rFonts w:ascii="Times New Roman" w:hAnsi="Times New Roman"/>
          <w:sz w:val="20"/>
        </w:rPr>
        <w:t xml:space="preserve">” means each restricted stock unit granted under an Indivior Equity Plan, that is subject to solely time-based vesting restrictions and not performance-based metrics. </w:t>
      </w:r>
    </w:p>
    <w:p>
      <w:pPr>
        <w:pStyle w:val="TextBody"/>
        <w:bidi w:val="0"/>
        <w:spacing w:before="240" w:after="0"/>
        <w:jc w:val="left"/>
        <w:rPr/>
      </w:pPr>
      <w:r>
        <w:rPr/>
        <w:t>“</w:t>
      </w:r>
      <w:r>
        <w:rPr>
          <w:rFonts w:ascii="Times New Roman" w:hAnsi="Times New Roman"/>
          <w:b/>
          <w:sz w:val="20"/>
        </w:rPr>
        <w:t>Indivior SEC Documents</w:t>
      </w:r>
      <w:r>
        <w:rPr>
          <w:rFonts w:ascii="Times New Roman" w:hAnsi="Times New Roman"/>
          <w:sz w:val="20"/>
        </w:rPr>
        <w:t xml:space="preserve">” has the meaning set forth in </w:t>
      </w:r>
      <w:r>
        <w:rPr>
          <w:rFonts w:ascii="Times New Roman" w:hAnsi="Times New Roman"/>
          <w:sz w:val="20"/>
          <w:u w:val="single"/>
        </w:rPr>
        <w:t>Section 4.7(a)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Share</w:t>
      </w:r>
      <w:r>
        <w:rPr>
          <w:rFonts w:ascii="Times New Roman" w:hAnsi="Times New Roman"/>
          <w:sz w:val="20"/>
        </w:rPr>
        <w:t xml:space="preserve">” means a share of common stock of Indivior, $0.001 par value per share. </w:t>
      </w:r>
    </w:p>
    <w:p>
      <w:pPr>
        <w:pStyle w:val="TextBody"/>
        <w:bidi w:val="0"/>
        <w:spacing w:before="240" w:after="0"/>
        <w:jc w:val="left"/>
        <w:rPr/>
      </w:pPr>
      <w:r>
        <w:rPr/>
        <w:t>“</w:t>
      </w:r>
      <w:r>
        <w:rPr>
          <w:rFonts w:ascii="Times New Roman" w:hAnsi="Times New Roman"/>
          <w:b/>
          <w:sz w:val="20"/>
        </w:rPr>
        <w:t>Indivior Share Issuance</w:t>
      </w:r>
      <w:r>
        <w:rPr>
          <w:rFonts w:ascii="Times New Roman" w:hAnsi="Times New Roman"/>
          <w:sz w:val="20"/>
        </w:rPr>
        <w:t xml:space="preserve">” means the issuance of Indivior Shares in connection with the Merger as contemplated by this Agreement. </w:t>
      </w:r>
    </w:p>
    <w:p>
      <w:pPr>
        <w:pStyle w:val="TextBody"/>
        <w:bidi w:val="0"/>
        <w:spacing w:before="240" w:after="0"/>
        <w:jc w:val="left"/>
        <w:rPr/>
      </w:pPr>
      <w:r>
        <w:rPr/>
        <w:t>“</w:t>
      </w:r>
      <w:r>
        <w:rPr>
          <w:rFonts w:ascii="Times New Roman" w:hAnsi="Times New Roman"/>
          <w:b/>
          <w:sz w:val="20"/>
        </w:rPr>
        <w:t>Indivior Stockholder</w:t>
      </w:r>
      <w:r>
        <w:rPr>
          <w:rFonts w:ascii="Times New Roman" w:hAnsi="Times New Roman"/>
          <w:sz w:val="20"/>
        </w:rPr>
        <w:t xml:space="preserve">” means a holder of Indivior Shares. </w:t>
      </w:r>
    </w:p>
    <w:p>
      <w:pPr>
        <w:pStyle w:val="TextBody"/>
        <w:bidi w:val="0"/>
        <w:spacing w:before="240" w:after="0"/>
        <w:jc w:val="left"/>
        <w:rPr/>
      </w:pPr>
      <w:r>
        <w:rPr/>
        <w:t>“</w:t>
      </w:r>
      <w:r>
        <w:rPr>
          <w:rFonts w:ascii="Times New Roman" w:hAnsi="Times New Roman"/>
          <w:b/>
          <w:sz w:val="20"/>
        </w:rPr>
        <w:t>Indivior Stockholder Approval</w:t>
      </w:r>
      <w:r>
        <w:rPr>
          <w:rFonts w:ascii="Times New Roman" w:hAnsi="Times New Roman"/>
          <w:sz w:val="20"/>
        </w:rPr>
        <w:t xml:space="preserve">” has the meaning set forth in </w:t>
      </w:r>
      <w:r>
        <w:rPr>
          <w:rFonts w:ascii="Times New Roman" w:hAnsi="Times New Roman"/>
          <w:sz w:val="20"/>
          <w:u w:val="single"/>
        </w:rPr>
        <w:t>Section 4.27(b)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Stockholders’ Meeting</w:t>
      </w:r>
      <w:r>
        <w:rPr>
          <w:rFonts w:ascii="Times New Roman" w:hAnsi="Times New Roman"/>
          <w:sz w:val="20"/>
        </w:rPr>
        <w:t xml:space="preserve">” has the meaning set forth in </w:t>
      </w:r>
      <w:r>
        <w:rPr>
          <w:rFonts w:ascii="Times New Roman" w:hAnsi="Times New Roman"/>
          <w:sz w:val="20"/>
          <w:u w:val="single"/>
        </w:rPr>
        <w:t>Section 6.3(b)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Subsidiary Securities</w:t>
      </w:r>
      <w:r>
        <w:rPr>
          <w:rFonts w:ascii="Times New Roman" w:hAnsi="Times New Roman"/>
          <w:sz w:val="20"/>
        </w:rPr>
        <w:t xml:space="preserve">” has the meaning set forth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Tax Counsel</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Termination Fee</w:t>
      </w:r>
      <w:r>
        <w:rPr>
          <w:rFonts w:ascii="Times New Roman" w:hAnsi="Times New Roman"/>
          <w:sz w:val="20"/>
        </w:rPr>
        <w:t xml:space="preserve">” has the meaning set forth in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UK Option Plans</w:t>
      </w:r>
      <w:r>
        <w:rPr>
          <w:rFonts w:ascii="Times New Roman" w:hAnsi="Times New Roman"/>
          <w:sz w:val="20"/>
        </w:rPr>
        <w:t xml:space="preserve">” means the Amended and Restated Indivior UK Savings Related Share Option Plan, as amended from time to time and the Indivior UK Savings Related Share Option Plan. </w:t>
      </w:r>
    </w:p>
    <w:p>
      <w:pPr>
        <w:pStyle w:val="TextBody"/>
        <w:bidi w:val="0"/>
        <w:spacing w:before="240" w:after="0"/>
        <w:jc w:val="left"/>
        <w:rPr/>
      </w:pPr>
      <w:r>
        <w:rPr/>
        <w:t>“</w:t>
      </w:r>
      <w:r>
        <w:rPr>
          <w:rFonts w:ascii="Times New Roman" w:hAnsi="Times New Roman"/>
          <w:b/>
          <w:sz w:val="20"/>
        </w:rPr>
        <w:t>Indivior UK Option Plan Purchase Rights</w:t>
      </w:r>
      <w:r>
        <w:rPr>
          <w:rFonts w:ascii="Times New Roman" w:hAnsi="Times New Roman"/>
          <w:sz w:val="20"/>
        </w:rPr>
        <w:t xml:space="preserve">” means rights to acquire Indivior Shares under the Indivior UK Option Plans. </w:t>
      </w:r>
    </w:p>
    <w:p>
      <w:pPr>
        <w:pStyle w:val="TextBody"/>
        <w:bidi w:val="0"/>
        <w:spacing w:before="240" w:after="0"/>
        <w:jc w:val="left"/>
        <w:rPr/>
      </w:pPr>
      <w:r>
        <w:rPr/>
        <w:t>“</w:t>
      </w:r>
      <w:r>
        <w:rPr>
          <w:rFonts w:ascii="Times New Roman" w:hAnsi="Times New Roman"/>
          <w:b/>
          <w:sz w:val="20"/>
        </w:rPr>
        <w:t>Indivior Voting Agreement</w:t>
      </w:r>
      <w:r>
        <w:rPr>
          <w:rFonts w:ascii="Times New Roman" w:hAnsi="Times New Roman"/>
          <w:sz w:val="20"/>
        </w:rPr>
        <w:t xml:space="preserve">” has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 </w:t>
      </w:r>
    </w:p>
    <w:p>
      <w:pPr>
        <w:pStyle w:val="TextBody"/>
        <w:bidi w:val="0"/>
        <w:spacing w:before="240" w:after="0"/>
        <w:jc w:val="left"/>
        <w:rPr/>
      </w:pPr>
      <w:r>
        <w:rPr/>
        <w:t>“</w:t>
      </w:r>
      <w:r>
        <w:rPr>
          <w:rFonts w:ascii="Times New Roman" w:hAnsi="Times New Roman"/>
          <w:b/>
          <w:sz w:val="20"/>
        </w:rPr>
        <w:t>Intentional and Material Breach</w:t>
      </w:r>
      <w:r>
        <w:rPr>
          <w:rFonts w:ascii="Times New Roman" w:hAnsi="Times New Roman"/>
          <w:sz w:val="20"/>
        </w:rPr>
        <w:t xml:space="preserve">”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 </w:t>
      </w:r>
    </w:p>
    <w:p>
      <w:pPr>
        <w:pStyle w:val="TextBody"/>
        <w:bidi w:val="0"/>
        <w:spacing w:before="240" w:after="0"/>
        <w:jc w:val="left"/>
        <w:rPr/>
      </w:pPr>
      <w:r>
        <w:rPr/>
        <w:t>“</w:t>
      </w:r>
      <w:r>
        <w:rPr>
          <w:rFonts w:ascii="Times New Roman" w:hAnsi="Times New Roman"/>
          <w:b/>
          <w:sz w:val="20"/>
        </w:rPr>
        <w:t>Intervening Event</w:t>
      </w:r>
      <w:r>
        <w:rPr>
          <w:rFonts w:ascii="Times New Roman" w:hAnsi="Times New Roman"/>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 </w:t>
      </w:r>
    </w:p>
    <w:p>
      <w:pPr>
        <w:pStyle w:val="TextBody"/>
        <w:bidi w:val="0"/>
        <w:spacing w:before="240" w:after="0"/>
        <w:jc w:val="left"/>
        <w:rPr/>
      </w:pPr>
      <w:r>
        <w:rPr/>
        <w:t>“</w:t>
      </w:r>
      <w:r>
        <w:rPr>
          <w:rFonts w:ascii="Times New Roman" w:hAnsi="Times New Roman"/>
          <w:b/>
          <w:sz w:val="20"/>
        </w:rPr>
        <w:t>Joint Proxy Statement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knowledge of Indivior</w:t>
      </w:r>
      <w:r>
        <w:rPr>
          <w:rFonts w:ascii="Times New Roman" w:hAnsi="Times New Roman"/>
          <w:sz w:val="20"/>
        </w:rPr>
        <w:t>” or “</w:t>
      </w:r>
      <w:r>
        <w:rPr>
          <w:rFonts w:ascii="Times New Roman" w:hAnsi="Times New Roman"/>
          <w:b/>
          <w:sz w:val="20"/>
        </w:rPr>
        <w:t>Indivior</w:t>
      </w:r>
      <w:r>
        <w:rPr>
          <w:rFonts w:ascii="Times New Roman" w:hAnsi="Times New Roman"/>
          <w:sz w:val="20"/>
        </w:rPr>
        <w:t>’</w:t>
      </w:r>
      <w:r>
        <w:rPr>
          <w:rFonts w:ascii="Times New Roman" w:hAnsi="Times New Roman"/>
          <w:b/>
          <w:sz w:val="20"/>
        </w:rPr>
        <w:t>s knowledge</w:t>
      </w:r>
      <w:r>
        <w:rPr>
          <w:rFonts w:ascii="Times New Roman" w:hAnsi="Times New Roman"/>
          <w:sz w:val="20"/>
        </w:rPr>
        <w:t xml:space="preserve">” shall mean, the actual knowledge of any of those individuals set forth in Section 1.1 of the Indivior Disclosure Letter. </w:t>
      </w:r>
    </w:p>
    <w:p>
      <w:pPr>
        <w:pStyle w:val="TextBody"/>
        <w:bidi w:val="0"/>
        <w:spacing w:before="240" w:after="0"/>
        <w:jc w:val="left"/>
        <w:rPr/>
      </w:pPr>
      <w:r>
        <w:rPr/>
        <w:t>“</w:t>
      </w:r>
      <w:r>
        <w:rPr>
          <w:rFonts w:ascii="Times New Roman" w:hAnsi="Times New Roman"/>
          <w:b/>
          <w:sz w:val="20"/>
        </w:rPr>
        <w:t>knowledge of Supernus</w:t>
      </w:r>
      <w:r>
        <w:rPr>
          <w:rFonts w:ascii="Times New Roman" w:hAnsi="Times New Roman"/>
          <w:sz w:val="20"/>
        </w:rPr>
        <w:t>” or “</w:t>
      </w:r>
      <w:r>
        <w:rPr>
          <w:rFonts w:ascii="Times New Roman" w:hAnsi="Times New Roman"/>
          <w:b/>
          <w:sz w:val="20"/>
        </w:rPr>
        <w:t>Supernus</w:t>
      </w:r>
      <w:r>
        <w:rPr>
          <w:rFonts w:ascii="Times New Roman" w:hAnsi="Times New Roman"/>
          <w:sz w:val="20"/>
        </w:rPr>
        <w:t xml:space="preserve">’ </w:t>
      </w:r>
      <w:r>
        <w:rPr>
          <w:rFonts w:ascii="Times New Roman" w:hAnsi="Times New Roman"/>
          <w:b/>
          <w:sz w:val="20"/>
        </w:rPr>
        <w:t>knowledge</w:t>
      </w:r>
      <w:r>
        <w:rPr>
          <w:rFonts w:ascii="Times New Roman" w:hAnsi="Times New Roman"/>
          <w:sz w:val="20"/>
        </w:rPr>
        <w:t xml:space="preserve">” shall mean, the actual knowledge of any of those individuals set forth in Section 1.1 of the Supernus Disclosure Letter.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 </w:t>
      </w:r>
    </w:p>
    <w:p>
      <w:pPr>
        <w:pStyle w:val="TextBody"/>
        <w:bidi w:val="0"/>
        <w:spacing w:before="240" w:after="0"/>
        <w:jc w:val="left"/>
        <w:rPr/>
      </w:pPr>
      <w:r>
        <w:rPr/>
        <w:t>“</w:t>
      </w:r>
      <w:r>
        <w:rPr>
          <w:rFonts w:ascii="Times New Roman" w:hAnsi="Times New Roman"/>
          <w:b/>
          <w:sz w:val="20"/>
        </w:rPr>
        <w:t>Lenders</w:t>
      </w:r>
      <w:r>
        <w:rPr>
          <w:rFonts w:ascii="Times New Roman" w:hAnsi="Times New Roman"/>
          <w:sz w:val="20"/>
        </w:rPr>
        <w:t xml:space="preserve">” has the meaning set forth in </w:t>
      </w:r>
      <w:r>
        <w:rPr>
          <w:rFonts w:ascii="Times New Roman" w:hAnsi="Times New Roman"/>
          <w:sz w:val="20"/>
          <w:u w:val="single"/>
        </w:rPr>
        <w:t>Section 4.31(a)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Liability</w:t>
      </w:r>
      <w:r>
        <w:rPr>
          <w:rFonts w:ascii="Times New Roman" w:hAnsi="Times New Roman"/>
          <w:sz w:val="20"/>
        </w:rPr>
        <w:t xml:space="preserve">”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Liens</w:t>
      </w:r>
      <w:r>
        <w:rPr>
          <w:rFonts w:ascii="Times New Roman" w:hAnsi="Times New Roman"/>
          <w:sz w:val="20"/>
        </w:rPr>
        <w:t xml:space="preserve">” means any lien, mortgage, pledge, encumbrance, deed of trust, security interest, claim, lease, charge, option, preemptive right, right of first refusal, subscription right, easement, servitude, proxy, voting trust or agreement, transfer restriction under any shareholder or similar agreement, encumbrance or restriction.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means any change, effect, event, circumstance, occurrence, state of facts or development (each, an “</w:t>
      </w:r>
      <w:r>
        <w:rPr>
          <w:rFonts w:ascii="Times New Roman" w:hAnsi="Times New Roman"/>
          <w:b/>
          <w:sz w:val="20"/>
        </w:rPr>
        <w:t>Effect</w:t>
      </w:r>
      <w:r>
        <w:rPr>
          <w:rFonts w:ascii="Times New Roman" w:hAnsi="Times New Roman"/>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relationships, contractual or otherwise, with customers, suppliers, licensors, distributors, partners, providers and employees (provided that this clause (i) shall not apply to any representation or warranty of Supernus in </w:t>
      </w:r>
      <w:r>
        <w:rPr>
          <w:rFonts w:ascii="Times New Roman" w:hAnsi="Times New Roman"/>
          <w:sz w:val="20"/>
          <w:u w:val="single"/>
        </w:rPr>
        <w:t>Section 3.5</w:t>
      </w:r>
      <w:r>
        <w:rPr>
          <w:rFonts w:ascii="Times New Roman" w:hAnsi="Times New Roman"/>
          <w:sz w:val="20"/>
        </w:rPr>
        <w:t xml:space="preserve"> or </w:t>
      </w:r>
      <w:r>
        <w:rPr>
          <w:rFonts w:ascii="Times New Roman" w:hAnsi="Times New Roman"/>
          <w:sz w:val="20"/>
          <w:u w:val="single"/>
        </w:rPr>
        <w:t>Section 3.6</w:t>
      </w:r>
      <w:r>
        <w:rPr>
          <w:rFonts w:ascii="Times New Roman" w:hAnsi="Times New Roman"/>
          <w:sz w:val="20"/>
        </w:rPr>
        <w:t xml:space="preserve"> or of Indivior in </w:t>
      </w:r>
      <w:r>
        <w:rPr>
          <w:rFonts w:ascii="Times New Roman" w:hAnsi="Times New Roman"/>
          <w:sz w:val="20"/>
          <w:u w:val="single"/>
        </w:rPr>
        <w:t>Section 4.5</w:t>
      </w:r>
      <w:r>
        <w:rPr>
          <w:rFonts w:ascii="Times New Roman" w:hAnsi="Times New Roman"/>
          <w:sz w:val="20"/>
        </w:rPr>
        <w:t xml:space="preserve"> or </w:t>
      </w:r>
      <w:r>
        <w:rPr>
          <w:rFonts w:ascii="Times New Roman" w:hAnsi="Times New Roman"/>
          <w:sz w:val="20"/>
          <w:u w:val="single"/>
        </w:rPr>
        <w:t>Section 4.6</w:t>
      </w:r>
      <w:r>
        <w:rPr>
          <w:rFonts w:ascii="Times New Roman" w:hAnsi="Times New Roman"/>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 w:hAnsi="Times New Roman"/>
          <w:b/>
          <w:sz w:val="20"/>
        </w:rPr>
        <w:t>Material Adverse Effect</w:t>
      </w:r>
      <w:r>
        <w:rPr>
          <w:rFonts w:ascii="Times New Roman" w:hAnsi="Times New Roman"/>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 w:hAnsi="Times New Roman"/>
          <w:b/>
          <w:sz w:val="20"/>
        </w:rPr>
        <w:t>Material Adverse Effect</w:t>
      </w:r>
      <w:r>
        <w:rPr>
          <w:rFonts w:ascii="Times New Roman" w:hAnsi="Times New Roman"/>
          <w:sz w:val="20"/>
        </w:rPr>
        <w:t xml:space="preserve">”);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 </w:t>
      </w:r>
    </w:p>
    <w:p>
      <w:pPr>
        <w:pStyle w:val="TextBody"/>
        <w:bidi w:val="0"/>
        <w:spacing w:before="240" w:after="0"/>
        <w:jc w:val="left"/>
        <w:rPr/>
      </w:pPr>
      <w:r>
        <w:rPr/>
        <w:t>“</w:t>
      </w:r>
      <w:r>
        <w:rPr>
          <w:rFonts w:ascii="Times New Roman" w:hAnsi="Times New Roman"/>
          <w:b/>
          <w:sz w:val="20"/>
        </w:rPr>
        <w:t>Measurement Date</w:t>
      </w:r>
      <w:r>
        <w:rPr>
          <w:rFonts w:ascii="Times New Roman" w:hAnsi="Times New Roman"/>
          <w:sz w:val="20"/>
        </w:rPr>
        <w:t xml:space="preserve">” has the meaning set forth in </w:t>
      </w:r>
      <w:r>
        <w:rPr>
          <w:rFonts w:ascii="Times New Roman" w:hAnsi="Times New Roman"/>
          <w:sz w:val="20"/>
          <w:u w:val="single"/>
        </w:rPr>
        <w:t>Section 3.3(a)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Consideration</w:t>
      </w:r>
      <w:r>
        <w:rPr>
          <w:rFonts w:ascii="Times New Roman" w:hAnsi="Times New Roman"/>
          <w:sz w:val="20"/>
        </w:rPr>
        <w:t xml:space="preserve">” has the meaning set forth in </w:t>
      </w:r>
      <w:r>
        <w:rPr>
          <w:rFonts w:ascii="Times New Roman" w:hAnsi="Times New Roman"/>
          <w:sz w:val="20"/>
          <w:u w:val="single"/>
        </w:rPr>
        <w:t>Section 2.8(a)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Merger Tax Opinion</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Tax Representation Letters</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Misconduct Allegation</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including the Nasdaq Global Select Market and the Nasdaq Global Market, as applicable. </w:t>
      </w:r>
    </w:p>
    <w:p>
      <w:pPr>
        <w:pStyle w:val="TextBody"/>
        <w:bidi w:val="0"/>
        <w:spacing w:before="240" w:after="0"/>
        <w:jc w:val="left"/>
        <w:rPr/>
      </w:pPr>
      <w:r>
        <w:rPr/>
        <w:t>“</w:t>
      </w:r>
      <w:r>
        <w:rPr>
          <w:rFonts w:ascii="Times New Roman" w:hAnsi="Times New Roman"/>
          <w:b/>
          <w:sz w:val="20"/>
        </w:rPr>
        <w:t>Non-Defaulting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Non-U.S. Plan</w:t>
      </w:r>
      <w:r>
        <w:rPr>
          <w:rFonts w:ascii="Times New Roman" w:hAnsi="Times New Roman"/>
          <w:sz w:val="20"/>
        </w:rPr>
        <w:t xml:space="preserve">” means each Plan that is subject to the Laws of a jurisdiction other than the U.S. (whether or not U.S. Law also applies). </w:t>
      </w:r>
    </w:p>
    <w:p>
      <w:pPr>
        <w:pStyle w:val="TextBody"/>
        <w:bidi w:val="0"/>
        <w:spacing w:before="240" w:after="0"/>
        <w:jc w:val="left"/>
        <w:rPr/>
      </w:pPr>
      <w:r>
        <w:rPr/>
        <w:t>“</w:t>
      </w:r>
      <w:r>
        <w:rPr>
          <w:rFonts w:ascii="Times New Roman" w:hAnsi="Times New Roman"/>
          <w:b/>
          <w:sz w:val="20"/>
        </w:rPr>
        <w:t>Orange Book</w:t>
      </w:r>
      <w:r>
        <w:rPr>
          <w:rFonts w:ascii="Times New Roman" w:hAnsi="Times New Roman"/>
          <w:sz w:val="20"/>
        </w:rPr>
        <w:t xml:space="preserve">” means the Approved Drug Products with Therapeutic Equivalence Evaluations maintained by the FDA as of the date of this Agreement.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order, writ, injunction, judgment or decree.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Organizational Documents</w:t>
      </w:r>
      <w:r>
        <w:rPr>
          <w:rFonts w:ascii="Times New Roman" w:hAnsi="Times New Roman"/>
          <w:sz w:val="20"/>
        </w:rPr>
        <w:t xml:space="preserve">” means the certificate of incorporation, articles of incorporation, articles of association, bylaws or other charter or organizational documents of a company or other entity. </w:t>
      </w:r>
    </w:p>
    <w:p>
      <w:pPr>
        <w:pStyle w:val="TextBody"/>
        <w:bidi w:val="0"/>
        <w:spacing w:before="240" w:after="0"/>
        <w:jc w:val="left"/>
        <w:rPr/>
      </w:pPr>
      <w:r>
        <w:rPr/>
        <w:t>“</w:t>
      </w:r>
      <w:r>
        <w:rPr>
          <w:rFonts w:ascii="Times New Roman" w:hAnsi="Times New Roman"/>
          <w:b/>
          <w:sz w:val="20"/>
        </w:rPr>
        <w:t>Permit</w:t>
      </w:r>
      <w:r>
        <w:rPr>
          <w:rFonts w:ascii="Times New Roman" w:hAnsi="Times New Roman"/>
          <w:sz w:val="20"/>
        </w:rPr>
        <w:t xml:space="preserve">” means any approval, clearance, authorization, certificate, consent, license, accreditation, Order or permits or other similar authorization of any Governmental Body or under any Law.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means any information in a party’s or its Subsidiaries’ possession that identifies or could be used to identify an individual, household or device including information that constitutes “personal data,” “personal information” or similar term as defined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Plan</w:t>
      </w:r>
      <w:r>
        <w:rPr>
          <w:rFonts w:ascii="Times New Roman" w:hAnsi="Times New Roman"/>
          <w:sz w:val="20"/>
        </w:rPr>
        <w:t xml:space="preserve">”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 </w:t>
      </w:r>
    </w:p>
    <w:p>
      <w:pPr>
        <w:pStyle w:val="TextBody"/>
        <w:bidi w:val="0"/>
        <w:spacing w:before="240" w:after="0"/>
        <w:jc w:val="left"/>
        <w:rPr/>
      </w:pPr>
      <w:r>
        <w:rPr/>
        <w:t>“</w:t>
      </w:r>
      <w:r>
        <w:rPr>
          <w:rFonts w:ascii="Times New Roman" w:hAnsi="Times New Roman"/>
          <w:b/>
          <w:sz w:val="20"/>
        </w:rPr>
        <w:t>Pre-Closing Period</w:t>
      </w:r>
      <w:r>
        <w:rPr>
          <w:rFonts w:ascii="Times New Roman" w:hAnsi="Times New Roman"/>
          <w:sz w:val="20"/>
        </w:rPr>
        <w:t xml:space="preserve">” has the meaning set forth in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Products</w:t>
      </w:r>
      <w:r>
        <w:rPr>
          <w:rFonts w:ascii="Times New Roman" w:hAnsi="Times New Roman"/>
          <w:sz w:val="20"/>
        </w:rPr>
        <w:t xml:space="preserve">” means any product that Supernus or Indivior, as applicable, has manufactured, distributed, marketed or sold, or is manufacturing, distributing, marketing or selling and any products currently under preclinical or clinical development by Supernus or Indivior, as applicable. </w:t>
      </w:r>
    </w:p>
    <w:p>
      <w:pPr>
        <w:pStyle w:val="TextBody"/>
        <w:bidi w:val="0"/>
        <w:spacing w:before="240" w:after="0"/>
        <w:jc w:val="left"/>
        <w:rPr/>
      </w:pPr>
      <w:r>
        <w:rPr/>
        <w:t>“</w:t>
      </w:r>
      <w:r>
        <w:rPr>
          <w:rFonts w:ascii="Times New Roman" w:hAnsi="Times New Roman"/>
          <w:b/>
          <w:sz w:val="20"/>
        </w:rPr>
        <w:t>Qualified Offer</w:t>
      </w:r>
      <w:r>
        <w:rPr>
          <w:rFonts w:ascii="Times New Roman" w:hAnsi="Times New Roman"/>
          <w:sz w:val="20"/>
        </w:rPr>
        <w:t xml:space="preserve">” has the meaning set forth in </w:t>
      </w:r>
      <w:r>
        <w:rPr>
          <w:rFonts w:ascii="Times New Roman" w:hAnsi="Times New Roman"/>
          <w:sz w:val="20"/>
          <w:u w:val="single"/>
        </w:rPr>
        <w:t>Section 6.6(a)(iv)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Representative</w:t>
      </w:r>
      <w:r>
        <w:rPr>
          <w:rFonts w:ascii="Times New Roman" w:hAnsi="Times New Roman"/>
          <w:sz w:val="20"/>
        </w:rPr>
        <w:t xml:space="preserve">” means any director, officer, employee, accountant, consultant, legal counsel, financial advisor, agent or other representative of a party. </w:t>
      </w:r>
    </w:p>
    <w:p>
      <w:pPr>
        <w:pStyle w:val="TextBody"/>
        <w:bidi w:val="0"/>
        <w:spacing w:before="240" w:after="0"/>
        <w:jc w:val="left"/>
        <w:rPr/>
      </w:pPr>
      <w:r>
        <w:rPr/>
        <w:t>“</w:t>
      </w:r>
      <w:r>
        <w:rPr>
          <w:rFonts w:ascii="Times New Roman" w:hAnsi="Times New Roman"/>
          <w:b/>
          <w:sz w:val="20"/>
        </w:rPr>
        <w:t>Required Financial Information</w:t>
      </w:r>
      <w:r>
        <w:rPr>
          <w:rFonts w:ascii="Times New Roman" w:hAnsi="Times New Roman"/>
          <w:sz w:val="20"/>
        </w:rPr>
        <w:t xml:space="preserve">” has the meaning set forth in </w:t>
      </w:r>
      <w:r>
        <w:rPr>
          <w:rFonts w:ascii="Times New Roman" w:hAnsi="Times New Roman"/>
          <w:sz w:val="20"/>
          <w:u w:val="single"/>
        </w:rPr>
        <w:t>Section 6.17(h)(vii)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Computershare Trust Company, N.A. </w:t>
      </w:r>
    </w:p>
    <w:p>
      <w:pPr>
        <w:pStyle w:val="TextBody"/>
        <w:bidi w:val="0"/>
        <w:spacing w:before="240" w:after="0"/>
        <w:jc w:val="left"/>
        <w:rPr/>
      </w:pPr>
      <w:r>
        <w:rPr/>
        <w:t>“</w:t>
      </w:r>
      <w:r>
        <w:rPr>
          <w:rFonts w:ascii="Times New Roman" w:hAnsi="Times New Roman"/>
          <w:b/>
          <w:sz w:val="20"/>
        </w:rPr>
        <w:t>Rollover Option</w:t>
      </w:r>
      <w:r>
        <w:rPr>
          <w:rFonts w:ascii="Times New Roman" w:hAnsi="Times New Roman"/>
          <w:sz w:val="20"/>
        </w:rPr>
        <w:t xml:space="preserve">” has the meaning set forth in </w:t>
      </w:r>
      <w:r>
        <w:rPr>
          <w:rFonts w:ascii="Times New Roman" w:hAnsi="Times New Roman"/>
          <w:sz w:val="20"/>
          <w:u w:val="single"/>
        </w:rPr>
        <w:t>Section 2.9(c)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Rollover RSU</w:t>
      </w:r>
      <w:r>
        <w:rPr>
          <w:rFonts w:ascii="Times New Roman" w:hAnsi="Times New Roman"/>
          <w:sz w:val="20"/>
        </w:rPr>
        <w:t xml:space="preserve">” has the meaning set forth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and the rules and regulations of the SEC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SOX</w:t>
      </w:r>
      <w:r>
        <w:rPr>
          <w:rFonts w:ascii="Times New Roman" w:hAnsi="Times New Roman"/>
          <w:sz w:val="20"/>
        </w:rPr>
        <w:t xml:space="preserve">” shall mean the Sarbanes-Oxley Act of 2002. </w:t>
      </w:r>
    </w:p>
    <w:p>
      <w:pPr>
        <w:pStyle w:val="TextBody"/>
        <w:bidi w:val="0"/>
        <w:spacing w:before="240" w:after="0"/>
        <w:jc w:val="left"/>
        <w:rPr/>
      </w:pPr>
      <w:r>
        <w:rPr/>
        <w:t>“</w:t>
      </w:r>
      <w:r>
        <w:rPr>
          <w:rFonts w:ascii="Times New Roman" w:hAnsi="Times New Roman"/>
          <w:b/>
          <w:sz w:val="20"/>
        </w:rPr>
        <w:t>Special Dividend</w:t>
      </w:r>
      <w:r>
        <w:rPr>
          <w:rFonts w:ascii="Times New Roman" w:hAnsi="Times New Roman"/>
          <w:sz w:val="20"/>
        </w:rPr>
        <w:t xml:space="preserve">” has the meaning set forth in </w:t>
      </w:r>
      <w:r>
        <w:rPr>
          <w:rFonts w:ascii="Times New Roman" w:hAnsi="Times New Roman"/>
          <w:sz w:val="20"/>
          <w:u w:val="single"/>
        </w:rPr>
        <w:t>Section 6.16(a)(i)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Supernus Adverse Recommendation Change</w:t>
      </w:r>
      <w:r>
        <w:rPr>
          <w:rFonts w:ascii="Times New Roman" w:hAnsi="Times New Roman"/>
          <w:sz w:val="20"/>
        </w:rPr>
        <w:t xml:space="preserve">” has the meaning set forth in </w:t>
      </w:r>
      <w:r>
        <w:rPr>
          <w:rFonts w:ascii="Times New Roman" w:hAnsi="Times New Roman"/>
          <w:sz w:val="20"/>
          <w:u w:val="single"/>
        </w:rPr>
        <w:t>Section 6.4(b)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Balance Sheet Date</w:t>
      </w:r>
      <w:r>
        <w:rPr>
          <w:rFonts w:ascii="Times New Roman" w:hAnsi="Times New Roman"/>
          <w:sz w:val="20"/>
        </w:rPr>
        <w:t xml:space="preserve">” means December 31, 2025. </w:t>
      </w:r>
    </w:p>
    <w:p>
      <w:pPr>
        <w:pStyle w:val="TextBody"/>
        <w:bidi w:val="0"/>
        <w:spacing w:before="240" w:after="0"/>
        <w:jc w:val="left"/>
        <w:rPr/>
      </w:pPr>
      <w:r>
        <w:rPr/>
        <w:t>“</w:t>
      </w:r>
      <w:r>
        <w:rPr>
          <w:rFonts w:ascii="Times New Roman" w:hAnsi="Times New Roman"/>
          <w:b/>
          <w:sz w:val="20"/>
        </w:rPr>
        <w:t>Supernus Board</w:t>
      </w:r>
      <w:r>
        <w:rPr>
          <w:rFonts w:ascii="Times New Roman" w:hAnsi="Times New Roman"/>
          <w:sz w:val="20"/>
        </w:rPr>
        <w:t xml:space="preserve">” means the board of directors of Supernus. </w:t>
      </w:r>
    </w:p>
    <w:p>
      <w:pPr>
        <w:pStyle w:val="TextBody"/>
        <w:bidi w:val="0"/>
        <w:spacing w:before="240" w:after="0"/>
        <w:jc w:val="left"/>
        <w:rPr/>
      </w:pPr>
      <w:r>
        <w:rPr/>
        <w:t>“</w:t>
      </w:r>
      <w:r>
        <w:rPr>
          <w:rFonts w:ascii="Times New Roman" w:hAnsi="Times New Roman"/>
          <w:b/>
          <w:sz w:val="20"/>
        </w:rPr>
        <w:t>Supernus Designees</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Disclosure Letter</w:t>
      </w:r>
      <w:r>
        <w:rPr>
          <w:rFonts w:ascii="Times New Roman" w:hAnsi="Times New Roman"/>
          <w:sz w:val="20"/>
        </w:rPr>
        <w:t xml:space="preserve">” has the meaning set forth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Existing Loan Documents</w:t>
      </w:r>
      <w:r>
        <w:rPr>
          <w:rFonts w:ascii="Times New Roman" w:hAnsi="Times New Roman"/>
          <w:sz w:val="20"/>
        </w:rPr>
        <w:t xml:space="preserve">” means that certain Credit Line Agreement, dated February 8, 2023, among Supernus and UBS Bank USA, and all other loan documents related thereto and entered into with respect thereto, in each case, as amended from time to time. </w:t>
      </w:r>
    </w:p>
    <w:p>
      <w:pPr>
        <w:pStyle w:val="TextBody"/>
        <w:bidi w:val="0"/>
        <w:spacing w:before="240" w:after="0"/>
        <w:jc w:val="left"/>
        <w:rPr/>
      </w:pPr>
      <w:r>
        <w:rPr/>
        <w:t>“</w:t>
      </w:r>
      <w:r>
        <w:rPr>
          <w:rFonts w:ascii="Times New Roman" w:hAnsi="Times New Roman"/>
          <w:b/>
          <w:sz w:val="20"/>
        </w:rPr>
        <w:t>Supernus Employees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Equity Plans</w:t>
      </w:r>
      <w:r>
        <w:rPr>
          <w:rFonts w:ascii="Times New Roman" w:hAnsi="Times New Roman"/>
          <w:sz w:val="20"/>
        </w:rPr>
        <w:t xml:space="preserve">” means Supernus’ Amended and Restated 2021 Equity Incentive Plan, as amended from time to time and Supernus’ Third Amended and Restated 2012 Equity Incentive Plan, as amended. </w:t>
      </w:r>
    </w:p>
    <w:p>
      <w:pPr>
        <w:pStyle w:val="TextBody"/>
        <w:bidi w:val="0"/>
        <w:spacing w:before="240" w:after="0"/>
        <w:jc w:val="left"/>
        <w:rPr/>
      </w:pPr>
      <w:r>
        <w:rPr/>
        <w:t>“</w:t>
      </w:r>
      <w:r>
        <w:rPr>
          <w:rFonts w:ascii="Times New Roman" w:hAnsi="Times New Roman"/>
          <w:b/>
          <w:sz w:val="20"/>
        </w:rPr>
        <w:t>Supernus ESPP</w:t>
      </w:r>
      <w:r>
        <w:rPr>
          <w:rFonts w:ascii="Times New Roman" w:hAnsi="Times New Roman"/>
          <w:sz w:val="20"/>
        </w:rPr>
        <w:t xml:space="preserve">” means Supernus’ Second Amended and Restated 2012 Employee Stock Purchase Plan, as amended from time to time. </w:t>
      </w:r>
    </w:p>
    <w:p>
      <w:pPr>
        <w:pStyle w:val="TextBody"/>
        <w:bidi w:val="0"/>
        <w:spacing w:before="240" w:after="0"/>
        <w:jc w:val="left"/>
        <w:rPr/>
      </w:pPr>
      <w:r>
        <w:rPr/>
        <w:t>“</w:t>
      </w:r>
      <w:r>
        <w:rPr>
          <w:rFonts w:ascii="Times New Roman" w:hAnsi="Times New Roman"/>
          <w:b/>
          <w:sz w:val="20"/>
        </w:rPr>
        <w:t>Supernus ESPP Purchase Rights</w:t>
      </w:r>
      <w:r>
        <w:rPr>
          <w:rFonts w:ascii="Times New Roman" w:hAnsi="Times New Roman"/>
          <w:sz w:val="20"/>
        </w:rPr>
        <w:t xml:space="preserve">” means rights to acquire Supernus Shares under the Supernus ESPP. </w:t>
      </w:r>
    </w:p>
    <w:p>
      <w:pPr>
        <w:pStyle w:val="TextBody"/>
        <w:bidi w:val="0"/>
        <w:spacing w:before="240" w:after="0"/>
        <w:jc w:val="left"/>
        <w:rPr/>
      </w:pPr>
      <w:r>
        <w:rPr/>
        <w:t>“</w:t>
      </w:r>
      <w:r>
        <w:rPr>
          <w:rFonts w:ascii="Times New Roman" w:hAnsi="Times New Roman"/>
          <w:b/>
          <w:sz w:val="20"/>
        </w:rPr>
        <w:t>Supernus Fee Allocation Percentage</w:t>
      </w:r>
      <w:r>
        <w:rPr>
          <w:rFonts w:ascii="Times New Roman" w:hAnsi="Times New Roman"/>
          <w:sz w:val="20"/>
        </w:rPr>
        <w:t xml:space="preserve">” means 43.5%. </w:t>
      </w:r>
    </w:p>
    <w:p>
      <w:pPr>
        <w:pStyle w:val="TextBody"/>
        <w:bidi w:val="0"/>
        <w:spacing w:before="240" w:after="0"/>
        <w:jc w:val="left"/>
        <w:rPr/>
      </w:pPr>
      <w:r>
        <w:rPr/>
        <w:t>“</w:t>
      </w:r>
      <w:r>
        <w:rPr>
          <w:rFonts w:ascii="Times New Roman" w:hAnsi="Times New Roman"/>
          <w:b/>
          <w:sz w:val="20"/>
        </w:rPr>
        <w:t>Supernus IP Contracts</w:t>
      </w:r>
      <w:r>
        <w:rPr>
          <w:rFonts w:ascii="Times New Roman" w:hAnsi="Times New Roman"/>
          <w:sz w:val="20"/>
        </w:rPr>
        <w:t xml:space="preserve">”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 </w:t>
      </w:r>
    </w:p>
    <w:p>
      <w:pPr>
        <w:pStyle w:val="TextBody"/>
        <w:bidi w:val="0"/>
        <w:spacing w:before="240" w:after="0"/>
        <w:jc w:val="left"/>
        <w:rPr/>
      </w:pPr>
      <w:r>
        <w:rPr/>
        <w:t>“</w:t>
      </w:r>
      <w:r>
        <w:rPr>
          <w:rFonts w:ascii="Times New Roman" w:hAnsi="Times New Roman"/>
          <w:b/>
          <w:sz w:val="20"/>
        </w:rPr>
        <w:t>Supernus Licensed Intellectual Property</w:t>
      </w:r>
      <w:r>
        <w:rPr>
          <w:rFonts w:ascii="Times New Roman" w:hAnsi="Times New Roman"/>
          <w:sz w:val="20"/>
        </w:rPr>
        <w:t xml:space="preserve">” means all Intellectual Property that is licensed to Supernus or any of its Subsidiaries by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Supernus Licenses</w:t>
      </w:r>
      <w:r>
        <w:rPr>
          <w:rFonts w:ascii="Times New Roman" w:hAnsi="Times New Roman"/>
          <w:sz w:val="20"/>
        </w:rPr>
        <w:t xml:space="preserve">” has the meaning set forth in </w:t>
      </w:r>
      <w:r>
        <w:rPr>
          <w:rFonts w:ascii="Times New Roman" w:hAnsi="Times New Roman"/>
          <w:sz w:val="20"/>
          <w:u w:val="single"/>
        </w:rPr>
        <w:t>Section 3.22(b)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Material Adverse Effect</w:t>
      </w:r>
      <w:r>
        <w:rPr>
          <w:rFonts w:ascii="Times New Roman" w:hAnsi="Times New Roman"/>
          <w:sz w:val="20"/>
        </w:rPr>
        <w:t xml:space="preserve">” means a Material Adverse Effect of Supernus. </w:t>
      </w:r>
    </w:p>
    <w:p>
      <w:pPr>
        <w:pStyle w:val="TextBody"/>
        <w:bidi w:val="0"/>
        <w:spacing w:before="240" w:after="0"/>
        <w:jc w:val="left"/>
        <w:rPr/>
      </w:pPr>
      <w:r>
        <w:rPr/>
        <w:t>“</w:t>
      </w:r>
      <w:r>
        <w:rPr>
          <w:rFonts w:ascii="Times New Roman" w:hAnsi="Times New Roman"/>
          <w:b/>
          <w:sz w:val="20"/>
        </w:rPr>
        <w:t>Supernus Material Contract</w:t>
      </w:r>
      <w:r>
        <w:rPr>
          <w:rFonts w:ascii="Times New Roman" w:hAnsi="Times New Roman"/>
          <w:sz w:val="20"/>
        </w:rPr>
        <w:t xml:space="preserve">” has the meaning set forth in </w:t>
      </w:r>
      <w:r>
        <w:rPr>
          <w:rFonts w:ascii="Times New Roman" w:hAnsi="Times New Roman"/>
          <w:sz w:val="20"/>
          <w:u w:val="single"/>
        </w:rPr>
        <w:t>Section 3.12(c)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Notice of Change</w:t>
      </w:r>
      <w:r>
        <w:rPr>
          <w:rFonts w:ascii="Times New Roman" w:hAnsi="Times New Roman"/>
          <w:sz w:val="20"/>
        </w:rPr>
        <w:t xml:space="preserve">” has the meaning set forth in </w:t>
      </w:r>
      <w:r>
        <w:rPr>
          <w:rFonts w:ascii="Times New Roman" w:hAnsi="Times New Roman"/>
          <w:sz w:val="20"/>
          <w:u w:val="single"/>
        </w:rPr>
        <w:t>Section 6.4(c)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Option</w:t>
      </w:r>
      <w:r>
        <w:rPr>
          <w:rFonts w:ascii="Times New Roman" w:hAnsi="Times New Roman"/>
          <w:sz w:val="20"/>
        </w:rPr>
        <w:t xml:space="preserve">” means each option to acquire Supernus Shares granted under a Supernus Equity Plan or pursuant to a stand-alone stock option agreement. </w:t>
      </w:r>
    </w:p>
    <w:p>
      <w:pPr>
        <w:pStyle w:val="TextBody"/>
        <w:bidi w:val="0"/>
        <w:spacing w:before="240" w:after="0"/>
        <w:jc w:val="left"/>
        <w:rPr/>
      </w:pPr>
      <w:r>
        <w:rPr/>
        <w:t>“</w:t>
      </w:r>
      <w:r>
        <w:rPr>
          <w:rFonts w:ascii="Times New Roman" w:hAnsi="Times New Roman"/>
          <w:b/>
          <w:sz w:val="20"/>
        </w:rPr>
        <w:t>Supernus Owned Intellectual Property</w:t>
      </w:r>
      <w:r>
        <w:rPr>
          <w:rFonts w:ascii="Times New Roman" w:hAnsi="Times New Roman"/>
          <w:sz w:val="20"/>
        </w:rPr>
        <w:t xml:space="preserve">” means all Intellectual Property that is owned (in whole or in part) by Supernus or any of its Subsidiaries, as applicable. </w:t>
      </w:r>
    </w:p>
    <w:p>
      <w:pPr>
        <w:pStyle w:val="TextBody"/>
        <w:bidi w:val="0"/>
        <w:spacing w:before="240" w:after="0"/>
        <w:jc w:val="left"/>
        <w:rPr/>
      </w:pPr>
      <w:r>
        <w:rPr/>
        <w:t>“</w:t>
      </w:r>
      <w:r>
        <w:rPr>
          <w:rFonts w:ascii="Times New Roman" w:hAnsi="Times New Roman"/>
          <w:b/>
          <w:sz w:val="20"/>
        </w:rPr>
        <w:t>Supernus Plan</w:t>
      </w:r>
      <w:r>
        <w:rPr>
          <w:rFonts w:ascii="Times New Roman" w:hAnsi="Times New Roman"/>
          <w:sz w:val="20"/>
        </w:rPr>
        <w:t xml:space="preserve">”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 </w:t>
      </w:r>
    </w:p>
    <w:p>
      <w:pPr>
        <w:pStyle w:val="TextBody"/>
        <w:bidi w:val="0"/>
        <w:spacing w:before="240" w:after="0"/>
        <w:jc w:val="left"/>
        <w:rPr/>
      </w:pPr>
      <w:r>
        <w:rPr/>
        <w:t>“</w:t>
      </w:r>
      <w:r>
        <w:rPr>
          <w:rFonts w:ascii="Times New Roman" w:hAnsi="Times New Roman"/>
          <w:b/>
          <w:sz w:val="20"/>
        </w:rPr>
        <w:t>Supernus Preferred Stock</w:t>
      </w:r>
      <w:r>
        <w:rPr>
          <w:rFonts w:ascii="Times New Roman" w:hAnsi="Times New Roman"/>
          <w:sz w:val="20"/>
        </w:rPr>
        <w:t xml:space="preserve">” means a share of preferred stock of Supernus, $0.001 par value per share. </w:t>
      </w:r>
    </w:p>
    <w:p>
      <w:pPr>
        <w:pStyle w:val="TextBody"/>
        <w:bidi w:val="0"/>
        <w:spacing w:before="240" w:after="0"/>
        <w:jc w:val="left"/>
        <w:rPr/>
      </w:pPr>
      <w:r>
        <w:rPr/>
        <w:t>“</w:t>
      </w:r>
      <w:r>
        <w:rPr>
          <w:rFonts w:ascii="Times New Roman" w:hAnsi="Times New Roman"/>
          <w:b/>
          <w:sz w:val="20"/>
        </w:rPr>
        <w:t>Supernus PSU</w:t>
      </w:r>
      <w:r>
        <w:rPr>
          <w:rFonts w:ascii="Times New Roman" w:hAnsi="Times New Roman"/>
          <w:sz w:val="20"/>
        </w:rPr>
        <w:t xml:space="preserve">” means each restricted stock unit granted under a Supernus Equity Plan that is subject to performance-based vesting restrictions. </w:t>
      </w:r>
    </w:p>
    <w:p>
      <w:pPr>
        <w:pStyle w:val="TextBody"/>
        <w:bidi w:val="0"/>
        <w:spacing w:before="240" w:after="0"/>
        <w:jc w:val="left"/>
        <w:rPr/>
      </w:pPr>
      <w:r>
        <w:rPr/>
        <w:t>“</w:t>
      </w:r>
      <w:r>
        <w:rPr>
          <w:rFonts w:ascii="Times New Roman" w:hAnsi="Times New Roman"/>
          <w:b/>
          <w:sz w:val="20"/>
        </w:rPr>
        <w:t>Supernus Real Property</w:t>
      </w:r>
      <w:r>
        <w:rPr>
          <w:rFonts w:ascii="Times New Roman" w:hAnsi="Times New Roman"/>
          <w:sz w:val="20"/>
        </w:rPr>
        <w:t xml:space="preserve">” has the meaning set forth in </w:t>
      </w:r>
      <w:r>
        <w:rPr>
          <w:rFonts w:ascii="Times New Roman" w:hAnsi="Times New Roman"/>
          <w:sz w:val="20"/>
          <w:u w:val="single"/>
        </w:rPr>
        <w:t>Section 3.10(b)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Recommendation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Supernus Registered Intellectual Property</w:t>
      </w:r>
      <w:r>
        <w:rPr>
          <w:rFonts w:ascii="Times New Roman" w:hAnsi="Times New Roman"/>
          <w:sz w:val="20"/>
        </w:rPr>
        <w:t xml:space="preserve">” has the meaning set forth in </w:t>
      </w:r>
      <w:r>
        <w:rPr>
          <w:rFonts w:ascii="Times New Roman" w:hAnsi="Times New Roman"/>
          <w:sz w:val="20"/>
          <w:u w:val="single"/>
        </w:rPr>
        <w:t>Section 3.13(a)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RSU</w:t>
      </w:r>
      <w:r>
        <w:rPr>
          <w:rFonts w:ascii="Times New Roman" w:hAnsi="Times New Roman"/>
          <w:sz w:val="20"/>
        </w:rPr>
        <w:t xml:space="preserve">” means each restricted stock unit granted under a Supernus Equity Plan that is subject to solely time-based vesting restrictions and not performance-based metrics. </w:t>
      </w:r>
    </w:p>
    <w:p>
      <w:pPr>
        <w:pStyle w:val="TextBody"/>
        <w:bidi w:val="0"/>
        <w:spacing w:before="240" w:after="0"/>
        <w:jc w:val="left"/>
        <w:rPr/>
      </w:pPr>
      <w:r>
        <w:rPr/>
        <w:t>“</w:t>
      </w:r>
      <w:r>
        <w:rPr>
          <w:rFonts w:ascii="Times New Roman" w:hAnsi="Times New Roman"/>
          <w:b/>
          <w:sz w:val="20"/>
        </w:rPr>
        <w:t>Supernus SEC Documents</w:t>
      </w:r>
      <w:r>
        <w:rPr>
          <w:rFonts w:ascii="Times New Roman" w:hAnsi="Times New Roman"/>
          <w:sz w:val="20"/>
        </w:rPr>
        <w:t xml:space="preserve">” has the meaning set forth in </w:t>
      </w:r>
      <w:r>
        <w:rPr>
          <w:rFonts w:ascii="Times New Roman" w:hAnsi="Times New Roman"/>
          <w:sz w:val="20"/>
          <w:u w:val="single"/>
        </w:rPr>
        <w:t>Section 3.7(a)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Share</w:t>
      </w:r>
      <w:r>
        <w:rPr>
          <w:rFonts w:ascii="Times New Roman" w:hAnsi="Times New Roman"/>
          <w:sz w:val="20"/>
        </w:rPr>
        <w:t xml:space="preserve">” means a share of common stock of Supernus, $0.001 par value per share. </w:t>
      </w:r>
    </w:p>
    <w:p>
      <w:pPr>
        <w:pStyle w:val="TextBody"/>
        <w:bidi w:val="0"/>
        <w:spacing w:before="240" w:after="0"/>
        <w:jc w:val="left"/>
        <w:rPr/>
      </w:pPr>
      <w:r>
        <w:rPr/>
        <w:t>“</w:t>
      </w:r>
      <w:r>
        <w:rPr>
          <w:rFonts w:ascii="Times New Roman" w:hAnsi="Times New Roman"/>
          <w:b/>
          <w:sz w:val="20"/>
        </w:rPr>
        <w:t>Supernus Share Certificate</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Stockholders</w:t>
      </w:r>
      <w:r>
        <w:rPr>
          <w:rFonts w:ascii="Times New Roman" w:hAnsi="Times New Roman"/>
          <w:sz w:val="20"/>
        </w:rPr>
        <w:t xml:space="preserve">” means all holders of Supernus Shares. </w:t>
      </w:r>
    </w:p>
    <w:p>
      <w:pPr>
        <w:pStyle w:val="TextBody"/>
        <w:bidi w:val="0"/>
        <w:spacing w:before="240" w:after="0"/>
        <w:jc w:val="left"/>
        <w:rPr/>
      </w:pPr>
      <w:r>
        <w:rPr/>
        <w:t>“</w:t>
      </w:r>
      <w:r>
        <w:rPr>
          <w:rFonts w:ascii="Times New Roman" w:hAnsi="Times New Roman"/>
          <w:b/>
          <w:sz w:val="20"/>
        </w:rPr>
        <w:t>Supernus Stockholder Approval</w:t>
      </w:r>
      <w:r>
        <w:rPr>
          <w:rFonts w:ascii="Times New Roman" w:hAnsi="Times New Roman"/>
          <w:sz w:val="20"/>
        </w:rPr>
        <w:t xml:space="preserve">” has the meaning set forth in </w:t>
      </w:r>
      <w:r>
        <w:rPr>
          <w:rFonts w:ascii="Times New Roman" w:hAnsi="Times New Roman"/>
          <w:sz w:val="20"/>
          <w:u w:val="single"/>
        </w:rPr>
        <w:t>Section 3.26(b)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Supernus Stockholders’ Meeting</w:t>
      </w:r>
      <w:r>
        <w:rPr>
          <w:rFonts w:ascii="Times New Roman" w:hAnsi="Times New Roman"/>
          <w:sz w:val="20"/>
        </w:rPr>
        <w:t xml:space="preserve">” has the meaning set forth in </w:t>
      </w:r>
      <w:r>
        <w:rPr>
          <w:rFonts w:ascii="Times New Roman" w:hAnsi="Times New Roman"/>
          <w:sz w:val="20"/>
          <w:u w:val="single"/>
        </w:rPr>
        <w:t>Section 6.3(a)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Subsidiary Securities</w:t>
      </w:r>
      <w:r>
        <w:rPr>
          <w:rFonts w:ascii="Times New Roman" w:hAnsi="Times New Roman"/>
          <w:sz w:val="20"/>
        </w:rPr>
        <w:t xml:space="preserve">” has the meaning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Tax Counsel</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Termination Fee</w:t>
      </w:r>
      <w:r>
        <w:rPr>
          <w:rFonts w:ascii="Times New Roman" w:hAnsi="Times New Roman"/>
          <w:sz w:val="20"/>
        </w:rPr>
        <w:t xml:space="preserve">” has the meaning set forth in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Voting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 </w:t>
      </w:r>
    </w:p>
    <w:p>
      <w:pPr>
        <w:pStyle w:val="TextBody"/>
        <w:bidi w:val="0"/>
        <w:spacing w:before="240" w:after="0"/>
        <w:jc w:val="left"/>
        <w:rPr/>
      </w:pPr>
      <w:r>
        <w:rPr/>
        <w:t>“</w:t>
      </w:r>
      <w:r>
        <w:rPr>
          <w:rFonts w:ascii="Times New Roman" w:hAnsi="Times New Roman"/>
          <w:b/>
          <w:sz w:val="20"/>
        </w:rPr>
        <w:t>Superior Proposal</w:t>
      </w:r>
      <w:r>
        <w:rPr>
          <w:rFonts w:ascii="Times New Roman" w:hAnsi="Times New Roman"/>
          <w:sz w:val="20"/>
        </w:rPr>
        <w:t xml:space="preserve">” means, with respect to a party hereto, any </w:t>
      </w:r>
      <w:r>
        <w:rPr>
          <w:rFonts w:ascii="Times New Roman" w:hAnsi="Times New Roman"/>
          <w:i/>
          <w:sz w:val="20"/>
        </w:rPr>
        <w:t>bona fide</w:t>
      </w:r>
      <w:r>
        <w:rPr>
          <w:rFonts w:ascii="Times New Roman" w:hAnsi="Times New Roman"/>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 w:hAnsi="Times New Roman"/>
          <w:sz w:val="20"/>
          <w:u w:val="single"/>
        </w:rPr>
        <w:t>Section 6.4(e)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Surviving Corporation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Takeover Law</w:t>
      </w:r>
      <w:r>
        <w:rPr>
          <w:rFonts w:ascii="Times New Roman" w:hAnsi="Times New Roman"/>
          <w:sz w:val="20"/>
        </w:rPr>
        <w:t xml:space="preserve">” means any “moratorium,” “control share acquisition,” “fair price,” “supermajority,” “affiliate transaction,” or “business combination” statute or regulation or other similar antitakeover laws of a state or any other Governmental Body, including Section 203 of the DGCL.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 </w:t>
      </w:r>
    </w:p>
    <w:p>
      <w:pPr>
        <w:pStyle w:val="TextBody"/>
        <w:bidi w:val="0"/>
        <w:spacing w:before="240" w:after="0"/>
        <w:jc w:val="left"/>
        <w:rPr/>
      </w:pPr>
      <w:r>
        <w:rPr/>
        <w:t>“</w:t>
      </w:r>
      <w:r>
        <w:rPr>
          <w:rFonts w:ascii="Times New Roman" w:hAnsi="Times New Roman"/>
          <w:b/>
          <w:sz w:val="20"/>
        </w:rPr>
        <w:t>Termination Date</w:t>
      </w:r>
      <w:r>
        <w:rPr>
          <w:rFonts w:ascii="Times New Roman" w:hAnsi="Times New Roman"/>
          <w:sz w:val="20"/>
        </w:rPr>
        <w:t xml:space="preserve">” has the meaning set forth in </w:t>
      </w:r>
      <w:r>
        <w:rPr>
          <w:rFonts w:ascii="Times New Roman" w:hAnsi="Times New Roman"/>
          <w:sz w:val="20"/>
          <w:u w:val="single"/>
        </w:rPr>
        <w:t>Section 8.1(d)(ii)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 Laws</w:t>
      </w:r>
      <w:r>
        <w:rPr>
          <w:rFonts w:ascii="Times New Roman" w:hAnsi="Times New Roman"/>
          <w:sz w:val="20"/>
        </w:rPr>
        <w:t xml:space="preserve">” means all applicable import, export control, anti-boycott Laws, and economic sanctions or trade restrictions administered or enforced by the governments of the United States, the European Union or any member state thereof, or the United Kingdom (including His Majesty’s Treasury).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shall mean a day on which Indivior Shares are traded on Nasdaq. </w:t>
      </w:r>
    </w:p>
    <w:p>
      <w:pPr>
        <w:pStyle w:val="TextBody"/>
        <w:bidi w:val="0"/>
        <w:spacing w:before="240" w:after="0"/>
        <w:jc w:val="left"/>
        <w:rPr/>
      </w:pPr>
      <w:r>
        <w:rPr/>
        <w:t>“</w:t>
      </w:r>
      <w:r>
        <w:rPr>
          <w:rFonts w:ascii="Times New Roman" w:hAnsi="Times New Roman"/>
          <w:b/>
          <w:sz w:val="20"/>
        </w:rPr>
        <w:t>Transaction Litigation</w:t>
      </w:r>
      <w:r>
        <w:rPr>
          <w:rFonts w:ascii="Times New Roman" w:hAnsi="Times New Roman"/>
          <w:sz w:val="20"/>
        </w:rPr>
        <w:t xml:space="preserve">”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 </w:t>
      </w:r>
    </w:p>
    <w:p>
      <w:pPr>
        <w:pStyle w:val="TextBody"/>
        <w:bidi w:val="0"/>
        <w:spacing w:before="240" w:after="0"/>
        <w:jc w:val="left"/>
        <w:rPr/>
      </w:pPr>
      <w:r>
        <w:rPr/>
        <w:t>“</w:t>
      </w:r>
      <w:r>
        <w:rPr>
          <w:rFonts w:ascii="Times New Roman" w:hAnsi="Times New Roman"/>
          <w:b/>
          <w:sz w:val="20"/>
        </w:rPr>
        <w:t>Transition Employees</w:t>
      </w:r>
      <w:r>
        <w:rPr>
          <w:rFonts w:ascii="Times New Roman" w:hAnsi="Times New Roman"/>
          <w:sz w:val="20"/>
        </w:rPr>
        <w:t xml:space="preserve">” has the meaning set forth in </w:t>
      </w:r>
      <w:r>
        <w:rPr>
          <w:rFonts w:ascii="Times New Roman" w:hAnsi="Times New Roman"/>
          <w:sz w:val="20"/>
          <w:u w:val="single"/>
        </w:rPr>
        <w:t>Section 6.6(a)(v)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regulations promulgated under the Code, as such regulations may be amended from time to time. </w:t>
      </w:r>
    </w:p>
    <w:p>
      <w:pPr>
        <w:pStyle w:val="TextBody"/>
        <w:bidi w:val="0"/>
        <w:spacing w:before="240" w:after="0"/>
        <w:jc w:val="left"/>
        <w:rPr/>
      </w:pPr>
      <w:r>
        <w:rPr/>
        <w:t>“</w:t>
      </w:r>
      <w:r>
        <w:rPr>
          <w:rFonts w:ascii="Times New Roman" w:hAnsi="Times New Roman"/>
          <w:b/>
          <w:sz w:val="20"/>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b/>
          <w:sz w:val="20"/>
        </w:rPr>
        <w:t>WARN</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Definitional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(b) Exhibits, Schedules, the Supernus Disclosure Letter and the Indivior Disclosure Letter to this Agreement are attached hereto and by this reference incorporated herein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 </w:t>
      </w:r>
    </w:p>
    <w:p>
      <w:pPr>
        <w:pStyle w:val="TextBody"/>
        <w:bidi w:val="0"/>
        <w:spacing w:before="240" w:after="0"/>
        <w:jc w:val="left"/>
        <w:rPr>
          <w:rFonts w:ascii="Times New Roman" w:hAnsi="Times New Roman"/>
          <w:sz w:val="20"/>
        </w:rPr>
      </w:pPr>
      <w:r>
        <w:rPr>
          <w:rFonts w:ascii="Times New Roman" w:hAnsi="Times New Roman"/>
          <w:sz w:val="20"/>
        </w:rPr>
        <w:t xml:space="preserve">(d) Any definition of or reference to any agreement, instrument, benefit plan or other document or any Law in this Agreement shall be construed as referring to such agreement, instrument or other document or Law as from time to time amended, supplemented or otherwise modified. </w:t>
      </w:r>
    </w:p>
    <w:p>
      <w:pPr>
        <w:pStyle w:val="TextBody"/>
        <w:bidi w:val="0"/>
        <w:spacing w:before="240" w:after="0"/>
        <w:jc w:val="left"/>
        <w:rPr>
          <w:rFonts w:ascii="Times New Roman" w:hAnsi="Times New Roman"/>
          <w:sz w:val="20"/>
        </w:rPr>
      </w:pPr>
      <w:r>
        <w:rPr>
          <w:rFonts w:ascii="Times New Roman" w:hAnsi="Times New Roman"/>
          <w:sz w:val="20"/>
        </w:rPr>
        <w:t xml:space="preserve">(e)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 </w:t>
      </w:r>
    </w:p>
    <w:p>
      <w:pPr>
        <w:pStyle w:val="TextBody"/>
        <w:bidi w:val="0"/>
        <w:spacing w:before="240" w:after="0"/>
        <w:jc w:val="left"/>
        <w:rPr>
          <w:rFonts w:ascii="Times New Roman" w:hAnsi="Times New Roman"/>
          <w:sz w:val="20"/>
        </w:rPr>
      </w:pPr>
      <w:r>
        <w:rPr>
          <w:rFonts w:ascii="Times New Roman" w:hAnsi="Times New Roman"/>
          <w:sz w:val="20"/>
        </w:rPr>
        <w:t xml:space="preserve">(f)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(g) The parties hereto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of this Agreement, in accordance with the DGCL, at the Effective Time, Merger Sub shall be merged with and into Supernus (the “</w:t>
      </w:r>
      <w:r>
        <w:rPr>
          <w:rFonts w:ascii="Times New Roman" w:hAnsi="Times New Roman"/>
          <w:b/>
          <w:sz w:val="20"/>
        </w:rPr>
        <w:t>Merger</w:t>
      </w:r>
      <w:r>
        <w:rPr>
          <w:rFonts w:ascii="Times New Roman" w:hAnsi="Times New Roman"/>
          <w:sz w:val="20"/>
        </w:rPr>
        <w:t>”). At the Effective Time, the separate corporate existence of Merger Sub shall cease, and Supernus shall continue as the surviving corporation (the “</w:t>
      </w:r>
      <w:r>
        <w:rPr>
          <w:rFonts w:ascii="Times New Roman" w:hAnsi="Times New Roman"/>
          <w:b/>
          <w:sz w:val="20"/>
        </w:rPr>
        <w:t>Surviving Corporation</w:t>
      </w:r>
      <w:r>
        <w:rPr>
          <w:rFonts w:ascii="Times New Roman" w:hAnsi="Times New Roman"/>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 w:hAnsi="Times New Roman"/>
          <w:sz w:val="20"/>
          <w:u w:val="single"/>
        </w:rPr>
        <w:t>Article II</w:t>
      </w:r>
      <w:r>
        <w:rPr>
          <w:rFonts w:ascii="Times New Roman" w:hAnsi="Times New Roman"/>
          <w:sz w:val="20"/>
        </w:rPr>
        <w:t xml:space="preserve">. Immediately following the Effective Time, but subject to </w:t>
      </w:r>
      <w:r>
        <w:rPr>
          <w:rFonts w:ascii="Times New Roman" w:hAnsi="Times New Roman"/>
          <w:sz w:val="20"/>
          <w:u w:val="single"/>
        </w:rPr>
        <w:t>Section 2.12(b)</w:t>
      </w:r>
      <w:r>
        <w:rPr>
          <w:rFonts w:ascii="Times New Roman" w:hAnsi="Times New Roman"/>
          <w:sz w:val="20"/>
        </w:rPr>
        <w:t xml:space="preserve">, the Surviving Corporation shall be a wholly-owned subsidiary of Indivior.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b/>
          <w:sz w:val="20"/>
        </w:rPr>
        <w:t>Closing</w:t>
      </w:r>
      <w:r>
        <w:rPr>
          <w:rFonts w:ascii="Times New Roman" w:hAnsi="Times New Roman"/>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 w:hAnsi="Times New Roman"/>
          <w:b/>
          <w:sz w:val="20"/>
        </w:rPr>
        <w:t>Closing Date</w:t>
      </w:r>
      <w:r>
        <w:rPr>
          <w:rFonts w:ascii="Times New Roman" w:hAnsi="Times New Roman"/>
          <w:sz w:val="20"/>
        </w:rPr>
        <w:t xml:space="preserve">”), unless another date or time is mutually agreed upon in writing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Effective Time</w:t>
      </w:r>
      <w:r>
        <w:rPr>
          <w:rFonts w:ascii="Times New Roman" w:hAnsi="Times New Roman"/>
          <w:sz w:val="20"/>
        </w:rPr>
        <w:t>. Subject to the provisions of this Agreement, at the Closing, the parties shall cause a certificate of merger (the “</w:t>
      </w:r>
      <w:r>
        <w:rPr>
          <w:rFonts w:ascii="Times New Roman" w:hAnsi="Times New Roman"/>
          <w:b/>
          <w:sz w:val="20"/>
        </w:rPr>
        <w:t>Certificate of Merger</w:t>
      </w:r>
      <w:r>
        <w:rPr>
          <w:rFonts w:ascii="Times New Roman" w:hAnsi="Times New Roman"/>
          <w:sz w:val="20"/>
        </w:rPr>
        <w:t>”)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of Delaware or at such later date or time as may be agreed by Indivior and Supernus in writing and specified in the Certificate of Merger in accordance with the DGCL (the effective time of the Merger being referred to herein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Certificate of Incorporation of Indivior; Corporate 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all actions necessary so that, at or immediately prior to the Effective Time, Indivior shall cause the Indivior Board to amend Indivior’s certificate of incorporation, effective as of the Effective Time, to cause its name to be changed to Supernus,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Indivior and Supernus shall take all necessary corporate action so that, effective as of the Effective Time: (i) the board of directors of the Combined Company (the “</w:t>
      </w:r>
      <w:r>
        <w:rPr>
          <w:rFonts w:ascii="Times New Roman" w:hAnsi="Times New Roman"/>
          <w:b/>
          <w:sz w:val="20"/>
        </w:rPr>
        <w:t>Combined Company Board</w:t>
      </w:r>
      <w:r>
        <w:rPr>
          <w:rFonts w:ascii="Times New Roman" w:hAnsi="Times New Roman"/>
          <w:sz w:val="20"/>
        </w:rPr>
        <w:t>”) shall consist of an even number of directors, comprised of an equal number of individuals designated by Indivior (the “</w:t>
      </w:r>
      <w:r>
        <w:rPr>
          <w:rFonts w:ascii="Times New Roman" w:hAnsi="Times New Roman"/>
          <w:b/>
          <w:sz w:val="20"/>
        </w:rPr>
        <w:t>Indivior Designees</w:t>
      </w:r>
      <w:r>
        <w:rPr>
          <w:rFonts w:ascii="Times New Roman" w:hAnsi="Times New Roman"/>
          <w:sz w:val="20"/>
        </w:rPr>
        <w:t>”) as set forth in Section 2.5(b)(i) of the Indivior Disclosure Letter and individuals designated by Supernus (the “</w:t>
      </w:r>
      <w:r>
        <w:rPr>
          <w:rFonts w:ascii="Times New Roman" w:hAnsi="Times New Roman"/>
          <w:b/>
          <w:sz w:val="20"/>
        </w:rPr>
        <w:t>Supernus Designees</w:t>
      </w:r>
      <w:r>
        <w:rPr>
          <w:rFonts w:ascii="Times New Roman" w:hAnsi="Times New Roman"/>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 w:hAnsi="Times New Roman"/>
          <w:sz w:val="20"/>
          <w:u w:val="single"/>
        </w:rPr>
        <w:t>provided</w:t>
      </w:r>
      <w:r>
        <w:rPr>
          <w:rFonts w:ascii="Times New Roman" w:hAnsi="Times New Roman"/>
          <w:sz w:val="20"/>
        </w:rPr>
        <w:t xml:space="preserve">, that (1)any replacement Indivior Designee or Chair of the Combined Company Board shall be subject to the prior written consent of Supernus (in its sole discretion) and (2) any replacement Supernus Designee shall be subject to the prior written consent of Indivior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Certificate of Incorporation and Bylaws of Surviving Corporation</w:t>
      </w:r>
      <w:r>
        <w:rPr>
          <w:rFonts w:ascii="Times New Roman" w:hAnsi="Times New Roman"/>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 w:hAnsi="Times New Roman"/>
          <w:sz w:val="20"/>
          <w:u w:val="single"/>
        </w:rPr>
        <w:t>Section 6.7</w:t>
      </w:r>
      <w:r>
        <w:rPr>
          <w:rFonts w:ascii="Times New Roman" w:hAnsi="Times New Roman"/>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 w:hAnsi="Times New Roman"/>
          <w:sz w:val="20"/>
          <w:u w:val="single"/>
        </w:rPr>
        <w:t>Section 6.7</w:t>
      </w:r>
      <w:r>
        <w:rPr>
          <w:rFonts w:ascii="Times New Roman" w:hAnsi="Times New Roman"/>
          <w:sz w:val="20"/>
        </w:rPr>
        <w:t xml:space="preserve">,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Directors and Officers of the Surviving Corporation and Other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between the date of this Agreement and the Closing Date in order to comply with applicable Law or to allocate titles among such individuals),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 w:hAnsi="Times New Roman"/>
          <w:sz w:val="20"/>
          <w:u w:val="single"/>
        </w:rPr>
        <w:t>provided</w:t>
      </w:r>
      <w:r>
        <w:rPr>
          <w:rFonts w:ascii="Times New Roman" w:hAnsi="Times New Roman"/>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Treatment of Supernus Shares and Merger Sub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further action on the part of Indivior, Merger Sub, Supernus or any holder of shares thereof: </w:t>
      </w:r>
    </w:p>
    <w:p>
      <w:pPr>
        <w:pStyle w:val="TextBody"/>
        <w:bidi w:val="0"/>
        <w:spacing w:before="120" w:after="0"/>
        <w:jc w:val="left"/>
        <w:rPr>
          <w:rFonts w:ascii="Times New Roman" w:hAnsi="Times New Roman"/>
          <w:sz w:val="20"/>
        </w:rPr>
      </w:pPr>
      <w:r>
        <w:rPr>
          <w:rFonts w:ascii="Times New Roman" w:hAnsi="Times New Roman"/>
          <w:sz w:val="20"/>
        </w:rPr>
        <w:t>(i) each Supernus Share held as of the Effective Time by (1) Supernus as treasury shares or (2) by Indivior, Merger Sub, or any direct or indirect wholly owned Subsidiary of Supernus or Indivior (collectively, the “</w:t>
      </w:r>
      <w:r>
        <w:rPr>
          <w:rFonts w:ascii="Times New Roman" w:hAnsi="Times New Roman"/>
          <w:b/>
          <w:sz w:val="20"/>
        </w:rPr>
        <w:t>Excluded Shares</w:t>
      </w:r>
      <w:r>
        <w:rPr>
          <w:rFonts w:ascii="Times New Roman" w:hAnsi="Times New Roman"/>
          <w:sz w:val="20"/>
        </w:rPr>
        <w:t xml:space="preserve">”), shall be canceled and retired and shall cease to exist, and no consideration shall be delivered in exchange therefor;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2.9(a)</w:t>
      </w:r>
      <w:r>
        <w:rPr>
          <w:rFonts w:ascii="Times New Roman" w:hAnsi="Times New Roman"/>
          <w:sz w:val="20"/>
        </w:rPr>
        <w:t xml:space="preserve">, </w:t>
      </w:r>
      <w:r>
        <w:rPr>
          <w:rFonts w:ascii="Times New Roman" w:hAnsi="Times New Roman"/>
          <w:sz w:val="20"/>
          <w:u w:val="single"/>
        </w:rPr>
        <w:t>Section 2.9(b)</w:t>
      </w:r>
      <w:r>
        <w:rPr>
          <w:rFonts w:ascii="Times New Roman" w:hAnsi="Times New Roman"/>
          <w:sz w:val="20"/>
        </w:rPr>
        <w:t xml:space="preserve"> and </w:t>
      </w:r>
      <w:r>
        <w:rPr>
          <w:rFonts w:ascii="Times New Roman" w:hAnsi="Times New Roman"/>
          <w:sz w:val="20"/>
          <w:u w:val="single"/>
        </w:rPr>
        <w:t>Section 2.15</w:t>
      </w:r>
      <w:r>
        <w:rPr>
          <w:rFonts w:ascii="Times New Roman" w:hAnsi="Times New Roman"/>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 w:hAnsi="Times New Roman"/>
          <w:sz w:val="20"/>
          <w:u w:val="single"/>
        </w:rPr>
        <w:t>Article II</w:t>
      </w:r>
      <w:r>
        <w:rPr>
          <w:rFonts w:ascii="Times New Roman" w:hAnsi="Times New Roman"/>
          <w:sz w:val="20"/>
        </w:rPr>
        <w:t>, the “</w:t>
      </w:r>
      <w:r>
        <w:rPr>
          <w:rFonts w:ascii="Times New Roman" w:hAnsi="Times New Roman"/>
          <w:b/>
          <w:sz w:val="20"/>
        </w:rPr>
        <w:t>Exchange Ratio</w:t>
      </w:r>
      <w:r>
        <w:rPr>
          <w:rFonts w:ascii="Times New Roman" w:hAnsi="Times New Roman"/>
          <w:sz w:val="20"/>
        </w:rPr>
        <w:t>” and the consideration to be received in respect of each Supernus Share, the “</w:t>
      </w:r>
      <w:r>
        <w:rPr>
          <w:rFonts w:ascii="Times New Roman" w:hAnsi="Times New Roman"/>
          <w:b/>
          <w:sz w:val="20"/>
        </w:rPr>
        <w:t>Merger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Treatment of Supernus Equity Awards</w:t>
      </w:r>
      <w:r>
        <w:rPr>
          <w:rFonts w:ascii="Times New Roman" w:hAnsi="Times New Roman"/>
          <w:sz w:val="20"/>
        </w:rPr>
        <w:t xml:space="preserve">. At the Effective Time, by virtue of the Merger and without any further action on the part of Indivior, Merger Sub, Supernus or any holder of shares thereof: </w:t>
      </w:r>
    </w:p>
    <w:p>
      <w:pPr>
        <w:pStyle w:val="TextBody"/>
        <w:bidi w:val="0"/>
        <w:spacing w:before="120" w:after="0"/>
        <w:jc w:val="left"/>
        <w:rPr>
          <w:rFonts w:ascii="Times New Roman" w:hAnsi="Times New Roman"/>
          <w:sz w:val="20"/>
        </w:rPr>
      </w:pPr>
      <w:r>
        <w:rPr>
          <w:rFonts w:ascii="Times New Roman" w:hAnsi="Times New Roman"/>
          <w:sz w:val="20"/>
        </w:rPr>
        <w:t>(a) each Supernus RSU award that is then outstanding shall automatically, without any action on the part of the holder thereof, be assumed and converted into an award of restricted stock units of Indivior (each, a “</w:t>
      </w:r>
      <w:r>
        <w:rPr>
          <w:rFonts w:ascii="Times New Roman" w:hAnsi="Times New Roman"/>
          <w:b/>
          <w:sz w:val="20"/>
        </w:rPr>
        <w:t>Rollover RSU</w:t>
      </w:r>
      <w:r>
        <w:rPr>
          <w:rFonts w:ascii="Times New Roman" w:hAnsi="Times New Roman"/>
          <w:sz w:val="20"/>
        </w:rPr>
        <w:t xml:space="preserve">”)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 </w:t>
      </w:r>
    </w:p>
    <w:p>
      <w:pPr>
        <w:pStyle w:val="TextBody"/>
        <w:bidi w:val="0"/>
        <w:spacing w:before="240" w:after="0"/>
        <w:jc w:val="left"/>
        <w:rPr>
          <w:rFonts w:ascii="Times New Roman" w:hAnsi="Times New Roman"/>
          <w:sz w:val="20"/>
        </w:rPr>
      </w:pPr>
      <w:r>
        <w:rPr>
          <w:rFonts w:ascii="Times New Roman" w:hAnsi="Times New Roman"/>
          <w:sz w:val="20"/>
        </w:rPr>
        <w:t>(c) each Supernus Option that is then outstanding shall automatically, without any action on the part of the holder thereof, be assumed and converted into an option to acquire Indivior Shares (each, a “</w:t>
      </w:r>
      <w:r>
        <w:rPr>
          <w:rFonts w:ascii="Times New Roman" w:hAnsi="Times New Roman"/>
          <w:b/>
          <w:sz w:val="20"/>
        </w:rPr>
        <w:t>Rollover Option</w:t>
      </w:r>
      <w:r>
        <w:rPr>
          <w:rFonts w:ascii="Times New Roman" w:hAnsi="Times New Roman"/>
          <w:sz w:val="20"/>
        </w:rPr>
        <w:t xml:space="preserve">”)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parties shall take all actions that are necessary or desirable to effectuate the provisions of this </w:t>
      </w:r>
      <w:r>
        <w:rPr>
          <w:rFonts w:ascii="Times New Roman" w:hAnsi="Times New Roman"/>
          <w:sz w:val="20"/>
          <w:u w:val="single"/>
        </w:rPr>
        <w:t>Section 2.9</w:t>
      </w:r>
      <w:r>
        <w:rPr>
          <w:rFonts w:ascii="Times New Roman" w:hAnsi="Times New Roman"/>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Filing of S-8</w:t>
      </w:r>
      <w:r>
        <w:rPr>
          <w:rFonts w:ascii="Times New Roman" w:hAnsi="Times New Roman"/>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 w:hAnsi="Times New Roman"/>
          <w:sz w:val="20"/>
          <w:u w:val="single"/>
        </w:rPr>
        <w:t>Section 2.9(a)</w:t>
      </w:r>
      <w:r>
        <w:rPr>
          <w:rFonts w:ascii="Times New Roman" w:hAnsi="Times New Roman"/>
          <w:sz w:val="20"/>
        </w:rPr>
        <w:t xml:space="preserve">,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Closing of Supernus Transfer Books</w:t>
      </w:r>
      <w:r>
        <w:rPr>
          <w:rFonts w:ascii="Times New Roman" w:hAnsi="Times New Roman"/>
          <w:sz w:val="20"/>
        </w:rPr>
        <w:t>. At the Effective Time: (a)(i) each certificate formerly representing any Supernus Share (other than an Excluded Share) (“</w:t>
      </w:r>
      <w:r>
        <w:rPr>
          <w:rFonts w:ascii="Times New Roman" w:hAnsi="Times New Roman"/>
          <w:b/>
          <w:sz w:val="20"/>
        </w:rPr>
        <w:t>Supernus Share Certificate</w:t>
      </w:r>
      <w:r>
        <w:rPr>
          <w:rFonts w:ascii="Times New Roman" w:hAnsi="Times New Roman"/>
          <w:sz w:val="20"/>
        </w:rPr>
        <w:t>”) and (ii) each uncertificated Supernus Share (“</w:t>
      </w:r>
      <w:r>
        <w:rPr>
          <w:rFonts w:ascii="Times New Roman" w:hAnsi="Times New Roman"/>
          <w:b/>
          <w:sz w:val="20"/>
        </w:rPr>
        <w:t>Book-Entry Share</w:t>
      </w:r>
      <w:r>
        <w:rPr>
          <w:rFonts w:ascii="Times New Roman" w:hAnsi="Times New Roman"/>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 w:hAnsi="Times New Roman"/>
          <w:sz w:val="20"/>
          <w:u w:val="single"/>
        </w:rPr>
        <w:t>Section 2.8</w:t>
      </w:r>
      <w:r>
        <w:rPr>
          <w:rFonts w:ascii="Times New Roman" w:hAnsi="Times New Roman"/>
          <w:sz w:val="20"/>
        </w:rPr>
        <w:t xml:space="preserve"> and any dividends or other distributions to which the holders thereof are entitled pursuant to </w:t>
      </w:r>
      <w:r>
        <w:rPr>
          <w:rFonts w:ascii="Times New Roman" w:hAnsi="Times New Roman"/>
          <w:sz w:val="20"/>
          <w:u w:val="single"/>
        </w:rPr>
        <w:t>Section 2.15</w:t>
      </w:r>
      <w:r>
        <w:rPr>
          <w:rFonts w:ascii="Times New Roman" w:hAnsi="Times New Roman"/>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the Surviving Corporation or to Indivior, such Supernus Share Certificate shall be cancelled and shall be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Exchange Fund; 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Date, Indivior and Supernus shall mutually select a bank or trust company, which may be the transfer agent for the Indivior Shares, to act as exchange agent in the Merger (the “</w:t>
      </w:r>
      <w:r>
        <w:rPr>
          <w:rFonts w:ascii="Times New Roman" w:hAnsi="Times New Roman"/>
          <w:b/>
          <w:sz w:val="20"/>
        </w:rPr>
        <w:t>Exchange Agent</w:t>
      </w:r>
      <w:r>
        <w:rPr>
          <w:rFonts w:ascii="Times New Roman" w:hAnsi="Times New Roman"/>
          <w:sz w:val="20"/>
        </w:rPr>
        <w:t>”), and, not later than the Effective Time, Indivior shall enter into an agreement with such bank or trust company, which agreement shall be reasonably acceptable to Supernus (the “</w:t>
      </w:r>
      <w:r>
        <w:rPr>
          <w:rFonts w:ascii="Times New Roman" w:hAnsi="Times New Roman"/>
          <w:b/>
          <w:sz w:val="20"/>
        </w:rPr>
        <w:t>Exchange Agency Agreement</w:t>
      </w:r>
      <w:r>
        <w:rPr>
          <w:rFonts w:ascii="Times New Roman" w:hAnsi="Times New Roman"/>
          <w:sz w:val="20"/>
        </w:rPr>
        <w:t xml:space="preserve">”), for the payment of the Merger Consideration as provided in </w:t>
      </w:r>
      <w:r>
        <w:rPr>
          <w:rFonts w:ascii="Times New Roman" w:hAnsi="Times New Roman"/>
          <w:sz w:val="20"/>
          <w:u w:val="single"/>
        </w:rPr>
        <w:t>Section 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 w:hAnsi="Times New Roman"/>
          <w:sz w:val="20"/>
          <w:u w:val="single"/>
        </w:rPr>
        <w:t>Section 2.8(a)(ii)</w:t>
      </w:r>
      <w:r>
        <w:rPr>
          <w:rFonts w:ascii="Times New Roman" w:hAnsi="Times New Roman"/>
          <w:sz w:val="20"/>
        </w:rPr>
        <w:t xml:space="preserve">, and </w:t>
      </w:r>
      <w:r>
        <w:rPr>
          <w:rFonts w:ascii="Times New Roman" w:hAnsi="Times New Roman"/>
          <w:sz w:val="20"/>
          <w:u w:val="single"/>
        </w:rPr>
        <w:t>Section 2.9(a)</w:t>
      </w:r>
      <w:r>
        <w:rPr>
          <w:rFonts w:ascii="Times New Roman" w:hAnsi="Times New Roman"/>
          <w:sz w:val="20"/>
        </w:rPr>
        <w:t xml:space="preserve"> for delivery to the Merger Consideration recipients entitled thereto (such Indivior Shares being the “</w:t>
      </w:r>
      <w:r>
        <w:rPr>
          <w:rFonts w:ascii="Times New Roman" w:hAnsi="Times New Roman"/>
          <w:b/>
          <w:sz w:val="20"/>
        </w:rPr>
        <w:t>Exchange Fund</w:t>
      </w:r>
      <w:r>
        <w:rPr>
          <w:rFonts w:ascii="Times New Roman" w:hAnsi="Times New Roman"/>
          <w:sz w:val="20"/>
        </w:rPr>
        <w:t xml:space="preserve">”) and (ii) cash sufficient to make payments in lieu of fractional shares in accordance with </w:t>
      </w:r>
      <w:r>
        <w:rPr>
          <w:rFonts w:ascii="Times New Roman" w:hAnsi="Times New Roman"/>
          <w:sz w:val="20"/>
          <w:u w:val="single"/>
        </w:rPr>
        <w:t>Section 2.8(b)</w:t>
      </w:r>
      <w:r>
        <w:rPr>
          <w:rFonts w:ascii="Times New Roman" w:hAnsi="Times New Roman"/>
          <w:sz w:val="20"/>
        </w:rPr>
        <w:t xml:space="preserve"> for delivery to the Merger Consideration recipients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 w:hAnsi="Times New Roman"/>
          <w:sz w:val="20"/>
          <w:u w:val="single"/>
        </w:rPr>
        <w:t>Article II</w:t>
      </w:r>
      <w:r>
        <w:rPr>
          <w:rFonts w:ascii="Times New Roman" w:hAnsi="Times New Roman"/>
          <w:sz w:val="20"/>
        </w:rPr>
        <w:t xml:space="preserve"> and cancel such Book-Entry Shares; and (ii) mail to each holder of Book-Entry Shares a check in the amount of any cash payable in respect of such holder’s Book-Entry Shares pursuant to </w:t>
      </w:r>
      <w:r>
        <w:rPr>
          <w:rFonts w:ascii="Times New Roman" w:hAnsi="Times New Roman"/>
          <w:sz w:val="20"/>
          <w:u w:val="single"/>
        </w:rPr>
        <w:t>Section 2.8(b)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 w:hAnsi="Times New Roman"/>
          <w:sz w:val="20"/>
          <w:u w:val="single"/>
        </w:rPr>
        <w:t>Section 2.8(a)</w:t>
      </w:r>
      <w:r>
        <w:rPr>
          <w:rFonts w:ascii="Times New Roman" w:hAnsi="Times New Roman"/>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 w:hAnsi="Times New Roman"/>
          <w:sz w:val="20"/>
          <w:u w:val="single"/>
        </w:rPr>
        <w:t>Section 2.8(a)</w:t>
      </w:r>
      <w:r>
        <w:rPr>
          <w:rFonts w:ascii="Times New Roman" w:hAnsi="Times New Roman"/>
          <w:sz w:val="20"/>
        </w:rPr>
        <w:t xml:space="preserve"> (and cash in lieu of any fractional Indivior Shares pursuant to </w:t>
      </w:r>
      <w:r>
        <w:rPr>
          <w:rFonts w:ascii="Times New Roman" w:hAnsi="Times New Roman"/>
          <w:sz w:val="20"/>
          <w:u w:val="single"/>
        </w:rPr>
        <w:t>Section 2.9(b)</w:t>
      </w:r>
      <w:r>
        <w:rPr>
          <w:rFonts w:ascii="Times New Roman" w:hAnsi="Times New Roman"/>
          <w:sz w:val="20"/>
        </w:rPr>
        <w:t xml:space="preserve"> and (B) the Supernus Share Certificate so surrendered shall immediately be canceled. Until surrendered as contemplated by this </w:t>
      </w:r>
      <w:r>
        <w:rPr>
          <w:rFonts w:ascii="Times New Roman" w:hAnsi="Times New Roman"/>
          <w:sz w:val="20"/>
          <w:u w:val="single"/>
        </w:rPr>
        <w:t>Section 2.12(d)</w:t>
      </w:r>
      <w:r>
        <w:rPr>
          <w:rFonts w:ascii="Times New Roman" w:hAnsi="Times New Roman"/>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 w:hAnsi="Times New Roman"/>
          <w:sz w:val="20"/>
          <w:u w:val="single"/>
        </w:rPr>
        <w:t>Section 2.9(b))</w:t>
      </w:r>
      <w:r>
        <w:rPr>
          <w:rFonts w:ascii="Times New Roman" w:hAnsi="Times New Roman"/>
          <w:sz w:val="20"/>
        </w:rPr>
        <w:t xml:space="preserve"> as contemplated by this </w:t>
      </w:r>
      <w:r>
        <w:rPr>
          <w:rFonts w:ascii="Times New Roman" w:hAnsi="Times New Roman"/>
          <w:sz w:val="20"/>
          <w:u w:val="single"/>
        </w:rPr>
        <w:t>Article II</w:t>
      </w:r>
      <w:r>
        <w:rPr>
          <w:rFonts w:ascii="Times New Roman" w:hAnsi="Times New Roman"/>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Indivior Shares to be issued and delivered to the Exchange Agent pursuant to this </w:t>
      </w:r>
      <w:r>
        <w:rPr>
          <w:rFonts w:ascii="Times New Roman" w:hAnsi="Times New Roman"/>
          <w:sz w:val="20"/>
          <w:u w:val="single"/>
        </w:rPr>
        <w:t>Section 2.12</w:t>
      </w:r>
      <w:r>
        <w:rPr>
          <w:rFonts w:ascii="Times New Roman" w:hAnsi="Times New Roman"/>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 w:hAnsi="Times New Roman"/>
          <w:sz w:val="20"/>
          <w:u w:val="single"/>
        </w:rPr>
        <w:t>Section 2.12</w:t>
      </w:r>
      <w:r>
        <w:rPr>
          <w:rFonts w:ascii="Times New Roman" w:hAnsi="Times New Roman"/>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 w:hAnsi="Times New Roman"/>
          <w:sz w:val="20"/>
          <w:u w:val="single"/>
        </w:rPr>
        <w:t>Section 2.12</w:t>
      </w:r>
      <w:r>
        <w:rPr>
          <w:rFonts w:ascii="Times New Roman" w:hAnsi="Times New Roman"/>
          <w:sz w:val="20"/>
        </w:rPr>
        <w:t xml:space="preserve">.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 </w:t>
      </w:r>
    </w:p>
    <w:p>
      <w:pPr>
        <w:pStyle w:val="TextBody"/>
        <w:bidi w:val="0"/>
        <w:spacing w:before="240" w:after="0"/>
        <w:jc w:val="left"/>
        <w:rPr>
          <w:rFonts w:ascii="Times New Roman" w:hAnsi="Times New Roman"/>
          <w:sz w:val="20"/>
        </w:rPr>
      </w:pPr>
      <w:r>
        <w:rPr>
          <w:rFonts w:ascii="Times New Roman" w:hAnsi="Times New Roman"/>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 w:hAnsi="Times New Roman"/>
          <w:sz w:val="20"/>
          <w:u w:val="single"/>
        </w:rPr>
        <w:t>Section 2.12(f)</w:t>
      </w:r>
      <w:r>
        <w:rPr>
          <w:rFonts w:ascii="Times New Roman" w:hAnsi="Times New Roman"/>
          <w:sz w:val="20"/>
        </w:rPr>
        <w:t xml:space="preserve">, as well as any holders of Book-Entry Shares who have not theretofore cashed any check payable to them in accordance with </w:t>
      </w:r>
      <w:r>
        <w:rPr>
          <w:rFonts w:ascii="Times New Roman" w:hAnsi="Times New Roman"/>
          <w:sz w:val="20"/>
          <w:u w:val="single"/>
        </w:rPr>
        <w:t>Section 2.9(b)</w:t>
      </w:r>
      <w:r>
        <w:rPr>
          <w:rFonts w:ascii="Times New Roman" w:hAnsi="Times New Roman"/>
          <w:sz w:val="20"/>
        </w:rPr>
        <w:t xml:space="preserve">, shall thereafter look only to Indivior for satisfaction of their claims for Indivior Shares, cash in lieu of fractional Indivior Shares and any dividends or distributions with respect to Indivior Shares, subject to applicable abandoned property law, escheat law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Withholding</w:t>
      </w:r>
      <w:r>
        <w:rPr>
          <w:rFonts w:ascii="Times New Roman" w:hAnsi="Times New Roman"/>
          <w:sz w:val="20"/>
        </w:rPr>
        <w:t xml:space="preserve">.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Interest; No Liability</w:t>
      </w:r>
      <w:r>
        <w:rPr>
          <w:rFonts w:ascii="Times New Roman" w:hAnsi="Times New Roman"/>
          <w:sz w:val="20"/>
        </w:rPr>
        <w:t xml:space="preserve">. All payments made pursuant to this </w:t>
      </w:r>
      <w:r>
        <w:rPr>
          <w:rFonts w:ascii="Times New Roman" w:hAnsi="Times New Roman"/>
          <w:sz w:val="20"/>
          <w:u w:val="single"/>
        </w:rPr>
        <w:t>Article II</w:t>
      </w:r>
      <w:r>
        <w:rPr>
          <w:rFonts w:ascii="Times New Roman" w:hAnsi="Times New Roman"/>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Adjustments to Prevent Dilution</w:t>
      </w:r>
      <w:r>
        <w:rPr>
          <w:rFonts w:ascii="Times New Roman" w:hAnsi="Times New Roman"/>
          <w:sz w:val="20"/>
        </w:rPr>
        <w:t xml:space="preserve">.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distribution, recapitalization, merger, subdivision, issuer tender or exchange offer, or other similar transaction, the consideration paid in accordance with this Agreement, including the Exchange Ratio, shall be equitably adjusted to reflect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2.17 </w:t>
      </w:r>
      <w:r>
        <w:rPr>
          <w:rFonts w:ascii="Times New Roman" w:hAnsi="Times New Roman"/>
          <w:sz w:val="20"/>
          <w:u w:val="single"/>
        </w:rPr>
        <w:t>No Appraisal Rights.</w:t>
      </w:r>
      <w:r>
        <w:rPr>
          <w:rFonts w:ascii="Times New Roman" w:hAnsi="Times New Roman"/>
          <w:sz w:val="20"/>
        </w:rPr>
        <w:t xml:space="preserve"> In accordance with Section 262 of the DGCL, no appraisal rights shall be available to Supernus Stockholders in connection with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SUPERNUS </w:t>
      </w:r>
    </w:p>
    <w:p>
      <w:pPr>
        <w:pStyle w:val="TextBody"/>
        <w:bidi w:val="0"/>
        <w:spacing w:before="240" w:after="0"/>
        <w:jc w:val="left"/>
        <w:rPr>
          <w:rFonts w:ascii="Times New Roman" w:hAnsi="Times New Roman"/>
          <w:sz w:val="20"/>
        </w:rPr>
      </w:pPr>
      <w:r>
        <w:rPr>
          <w:rFonts w:ascii="Times New Roman" w:hAnsi="Times New Roman"/>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 w:hAnsi="Times New Roman"/>
          <w:b/>
          <w:sz w:val="20"/>
        </w:rPr>
        <w:t>Supernus Disclosure Letter</w:t>
      </w:r>
      <w:r>
        <w:rPr>
          <w:rFonts w:ascii="Times New Roman" w:hAnsi="Times New Roman"/>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 </w:t>
      </w:r>
    </w:p>
    <w:p>
      <w:pPr>
        <w:pStyle w:val="TextBody"/>
        <w:bidi w:val="0"/>
        <w:spacing w:before="240" w:after="0"/>
        <w:jc w:val="left"/>
        <w:rPr>
          <w:rFonts w:ascii="Times New Roman" w:hAnsi="Times New Roman"/>
          <w:sz w:val="20"/>
        </w:rPr>
      </w:pPr>
      <w:r>
        <w:rPr>
          <w:rFonts w:ascii="Times New Roman" w:hAnsi="Times New Roman"/>
          <w:sz w:val="20"/>
        </w:rPr>
        <w:t xml:space="preserve">(b)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Authorization; Valid and Binding Agreement.</w:t>
      </w:r>
      <w:r>
        <w:rPr>
          <w:rFonts w:ascii="Times New Roman" w:hAnsi="Times New Roman"/>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Supernus consists of (i) 130,000,000 Supernus Shares, $0.001 par value per share, of which, as of July 28, 2026 (the “</w:t>
      </w:r>
      <w:r>
        <w:rPr>
          <w:rFonts w:ascii="Times New Roman" w:hAnsi="Times New Roman"/>
          <w:b/>
          <w:sz w:val="20"/>
        </w:rPr>
        <w:t>Measurement Date</w:t>
      </w:r>
      <w:r>
        <w:rPr>
          <w:rFonts w:ascii="Times New Roman" w:hAnsi="Times New Roman"/>
          <w:sz w:val="20"/>
        </w:rPr>
        <w:t xml:space="preserve">”),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 </w:t>
      </w:r>
    </w:p>
    <w:p>
      <w:pPr>
        <w:pStyle w:val="TextBody"/>
        <w:bidi w:val="0"/>
        <w:spacing w:before="240" w:after="0"/>
        <w:jc w:val="left"/>
        <w:rPr>
          <w:rFonts w:ascii="Times New Roman" w:hAnsi="Times New Roman"/>
          <w:sz w:val="20"/>
        </w:rPr>
      </w:pPr>
      <w:r>
        <w:rPr>
          <w:rFonts w:ascii="Times New Roman" w:hAnsi="Times New Roman"/>
          <w:sz w:val="20"/>
        </w:rPr>
        <w:t xml:space="preserve">(d) All of the outstanding Supernus Options, Supernus RSUs, Supernus PSUs and Supernus ESPP Purchase Rights have been duly authorized by all necessary corporate action and were granted in accordance with the terms of all applicable Plans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there is no stockholder rights plan, “poison pill” antitakeover plan or similar device in effect to which Supernus or any of its Subsidiaries is subject, a party to or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Subsidiaries</w:t>
      </w:r>
      <w:r>
        <w:rPr>
          <w:rFonts w:ascii="Times New Roman" w:hAnsi="Times New Roman"/>
          <w:sz w:val="20"/>
        </w:rPr>
        <w:t xml:space="preserve">.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beneficially, directly or indirectly, by Supernus free and clear of all Liens (other than Permitted Liens). None of Supernus’ Subsidiaries has any other equity securities authorized, issued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 w:hAnsi="Times New Roman"/>
          <w:b/>
          <w:sz w:val="20"/>
        </w:rPr>
        <w:t>Supernus Subsidiary Securities</w:t>
      </w:r>
      <w:r>
        <w:rPr>
          <w:rFonts w:ascii="Times New Roman" w:hAnsi="Times New Roman"/>
          <w:sz w:val="20"/>
        </w:rPr>
        <w:t xml:space="preserve">”).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No Breach</w:t>
      </w:r>
      <w:r>
        <w:rPr>
          <w:rFonts w:ascii="Times New Roman" w:hAnsi="Times New Roman"/>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 w:hAnsi="Times New Roman"/>
          <w:sz w:val="20"/>
          <w:u w:val="single"/>
        </w:rPr>
        <w:t>Section 3.6</w:t>
      </w:r>
      <w:r>
        <w:rPr>
          <w:rFonts w:ascii="Times New Roman" w:hAnsi="Times New Roman"/>
          <w:sz w:val="20"/>
        </w:rPr>
        <w:t xml:space="preserve"> have been obtained and all filings and obligations described in </w:t>
      </w:r>
      <w:r>
        <w:rPr>
          <w:rFonts w:ascii="Times New Roman" w:hAnsi="Times New Roman"/>
          <w:sz w:val="20"/>
          <w:u w:val="single"/>
        </w:rPr>
        <w:t>Section 3.6</w:t>
      </w:r>
      <w:r>
        <w:rPr>
          <w:rFonts w:ascii="Times New Roman" w:hAnsi="Times New Roman"/>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Consents, etc</w:t>
      </w:r>
      <w:r>
        <w:rPr>
          <w:rFonts w:ascii="Times New Roman" w:hAnsi="Times New Roman"/>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SEC Reports; Disclosure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 w:hAnsi="Times New Roman"/>
          <w:b/>
          <w:sz w:val="20"/>
        </w:rPr>
        <w:t>Supernus SEC Documents</w:t>
      </w:r>
      <w:r>
        <w:rPr>
          <w:rFonts w:ascii="Times New Roman" w:hAnsi="Times New Roman"/>
          <w:sz w:val="20"/>
        </w:rPr>
        <w:t xml:space="preserve">”).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(f) Supernus is in material compliance with the applicable listing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No Undisclosed Liabilities</w:t>
      </w:r>
      <w:r>
        <w:rPr>
          <w:rFonts w:ascii="Times New Roman" w:hAnsi="Times New Roman"/>
          <w:sz w:val="20"/>
        </w:rPr>
        <w:t xml:space="preserve">.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Certain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Supernus Balance Sheet Date, there has not been any Supernus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 </w:t>
      </w:r>
    </w:p>
    <w:p>
      <w:pPr>
        <w:pStyle w:val="TextBody"/>
        <w:bidi w:val="0"/>
        <w:spacing w:before="120" w:after="0"/>
        <w:jc w:val="left"/>
        <w:rPr>
          <w:rFonts w:ascii="Times New Roman" w:hAnsi="Times New Roman"/>
          <w:sz w:val="20"/>
        </w:rPr>
      </w:pPr>
      <w:r>
        <w:rPr>
          <w:rFonts w:ascii="Times New Roman" w:hAnsi="Times New Roman"/>
          <w:sz w:val="20"/>
        </w:rPr>
        <w:t xml:space="preserve">(i) amended or modified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declared or paid any dividend or other distribution of the assets of Supernus; </w:t>
      </w:r>
    </w:p>
    <w:p>
      <w:pPr>
        <w:pStyle w:val="TextBody"/>
        <w:bidi w:val="0"/>
        <w:spacing w:before="240" w:after="0"/>
        <w:jc w:val="left"/>
        <w:rPr>
          <w:rFonts w:ascii="Times New Roman" w:hAnsi="Times New Roman"/>
          <w:sz w:val="20"/>
        </w:rPr>
      </w:pPr>
      <w:r>
        <w:rPr>
          <w:rFonts w:ascii="Times New Roman" w:hAnsi="Times New Roman"/>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 </w:t>
      </w:r>
    </w:p>
    <w:p>
      <w:pPr>
        <w:pStyle w:val="TextBody"/>
        <w:bidi w:val="0"/>
        <w:spacing w:before="240" w:after="0"/>
        <w:jc w:val="left"/>
        <w:rPr>
          <w:rFonts w:ascii="Times New Roman" w:hAnsi="Times New Roman"/>
          <w:sz w:val="20"/>
        </w:rPr>
      </w:pPr>
      <w:r>
        <w:rPr>
          <w:rFonts w:ascii="Times New Roman" w:hAnsi="Times New Roman"/>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(vii) except as required by applicable Law, adopted or materially amended any Supernus Plans; </w:t>
      </w:r>
    </w:p>
    <w:p>
      <w:pPr>
        <w:pStyle w:val="TextBody"/>
        <w:bidi w:val="0"/>
        <w:spacing w:before="240" w:after="0"/>
        <w:jc w:val="left"/>
        <w:rPr>
          <w:rFonts w:ascii="Times New Roman" w:hAnsi="Times New Roman"/>
          <w:sz w:val="20"/>
        </w:rPr>
      </w:pPr>
      <w:r>
        <w:rPr>
          <w:rFonts w:ascii="Times New Roman" w:hAnsi="Times New Roman"/>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(ix) entered into, amended or modified any collective bargaining agreement or Contract with any labor union, trade organization or other employee representative body; </w:t>
      </w:r>
    </w:p>
    <w:p>
      <w:pPr>
        <w:pStyle w:val="TextBody"/>
        <w:bidi w:val="0"/>
        <w:spacing w:before="240" w:after="0"/>
        <w:jc w:val="left"/>
        <w:rPr>
          <w:rFonts w:ascii="Times New Roman" w:hAnsi="Times New Roman"/>
          <w:sz w:val="20"/>
        </w:rPr>
      </w:pPr>
      <w:r>
        <w:rPr>
          <w:rFonts w:ascii="Times New Roman" w:hAnsi="Times New Roman"/>
          <w:sz w:val="20"/>
        </w:rPr>
        <w:t xml:space="preserve">(x) commenced or settled any Action in which the amount in dispute is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(xi) made any material change in accounting principles, methods, procedures or policies,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(xii) made, changed or revoked any material Tax election, or settled or compromised any material Tax claim or liabilities, or filed any substantially amended material Tax Return; </w:t>
      </w:r>
    </w:p>
    <w:p>
      <w:pPr>
        <w:pStyle w:val="TextBody"/>
        <w:bidi w:val="0"/>
        <w:spacing w:before="240" w:after="0"/>
        <w:jc w:val="left"/>
        <w:rPr>
          <w:rFonts w:ascii="Times New Roman" w:hAnsi="Times New Roman"/>
          <w:sz w:val="20"/>
        </w:rPr>
      </w:pPr>
      <w:r>
        <w:rPr>
          <w:rFonts w:ascii="Times New Roman" w:hAnsi="Times New Roman"/>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before="240" w:after="0"/>
        <w:jc w:val="left"/>
        <w:rPr>
          <w:rFonts w:ascii="Times New Roman" w:hAnsi="Times New Roman"/>
          <w:sz w:val="20"/>
        </w:rPr>
      </w:pPr>
      <w:r>
        <w:rPr>
          <w:rFonts w:ascii="Times New Roman" w:hAnsi="Times New Roman"/>
          <w:sz w:val="20"/>
        </w:rPr>
        <w:t xml:space="preserve">(xiv) except in the ordinary course of business consistent with past practice, incurred or discharged 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made capital expenditures individually in excess of $750,000; </w:t>
      </w:r>
    </w:p>
    <w:p>
      <w:pPr>
        <w:pStyle w:val="TextBody"/>
        <w:bidi w:val="0"/>
        <w:spacing w:before="240" w:after="0"/>
        <w:jc w:val="left"/>
        <w:rPr>
          <w:rFonts w:ascii="Times New Roman" w:hAnsi="Times New Roman"/>
          <w:sz w:val="20"/>
        </w:rPr>
      </w:pPr>
      <w:r>
        <w:rPr>
          <w:rFonts w:ascii="Times New Roman" w:hAnsi="Times New Roman"/>
          <w:sz w:val="20"/>
        </w:rPr>
        <w:t xml:space="preserve">(xvi) suffered any material damage, destruction or loss, whether or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(xviii) been subject to any written claim or written threat of infringement, misappropriation or other violation by or against Supernus or any of its Subsidiaries of Intellectual Property rights of Supernus or any of its Subsidiaries or a third party; </w:t>
      </w:r>
    </w:p>
    <w:p>
      <w:pPr>
        <w:pStyle w:val="TextBody"/>
        <w:bidi w:val="0"/>
        <w:spacing w:before="240" w:after="0"/>
        <w:jc w:val="left"/>
        <w:rPr>
          <w:rFonts w:ascii="Times New Roman" w:hAnsi="Times New Roman"/>
          <w:sz w:val="20"/>
        </w:rPr>
      </w:pPr>
      <w:r>
        <w:rPr>
          <w:rFonts w:ascii="Times New Roman" w:hAnsi="Times New Roman"/>
          <w:sz w:val="20"/>
        </w:rPr>
        <w:t xml:space="preserve">(xix) materially reduced the amount of any insurance coverage provided by existing insurance policies; or </w:t>
      </w:r>
    </w:p>
    <w:p>
      <w:pPr>
        <w:pStyle w:val="TextBody"/>
        <w:bidi w:val="0"/>
        <w:spacing w:before="240" w:after="0"/>
        <w:jc w:val="left"/>
        <w:rPr>
          <w:rFonts w:ascii="Times New Roman" w:hAnsi="Times New Roman"/>
          <w:sz w:val="20"/>
        </w:rPr>
      </w:pPr>
      <w:r>
        <w:rPr>
          <w:rFonts w:ascii="Times New Roman" w:hAnsi="Times New Roman"/>
          <w:sz w:val="20"/>
        </w:rPr>
        <w:t xml:space="preserve">(xx) committed to do or take any of the actions described in the foregoing clauses (i) through (xix).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Title to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 </w:t>
      </w:r>
    </w:p>
    <w:p>
      <w:pPr>
        <w:pStyle w:val="TextBody"/>
        <w:bidi w:val="0"/>
        <w:spacing w:before="240" w:after="0"/>
        <w:jc w:val="left"/>
        <w:rPr>
          <w:rFonts w:ascii="Times New Roman" w:hAnsi="Times New Roman"/>
          <w:sz w:val="20"/>
        </w:rPr>
      </w:pPr>
      <w:r>
        <w:rPr>
          <w:rFonts w:ascii="Times New Roman" w:hAnsi="Times New Roman"/>
          <w:sz w:val="20"/>
        </w:rPr>
        <w:t>(b) Supernus does not own any real property. The leased real property described in Section 3.10(b) of the Supernus Disclosure Letter (the “</w:t>
      </w:r>
      <w:r>
        <w:rPr>
          <w:rFonts w:ascii="Times New Roman" w:hAnsi="Times New Roman"/>
          <w:b/>
          <w:sz w:val="20"/>
        </w:rPr>
        <w:t>Supernus Real Property</w:t>
      </w:r>
      <w:r>
        <w:rPr>
          <w:rFonts w:ascii="Times New Roman" w:hAnsi="Times New Roman"/>
          <w:sz w:val="20"/>
        </w:rPr>
        <w:t xml:space="preserve">”)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 </w:t>
      </w:r>
    </w:p>
    <w:p>
      <w:pPr>
        <w:pStyle w:val="TextBody"/>
        <w:bidi w:val="0"/>
        <w:spacing w:before="240" w:after="0"/>
        <w:jc w:val="left"/>
        <w:rPr>
          <w:rFonts w:ascii="Times New Roman" w:hAnsi="Times New Roman"/>
          <w:sz w:val="20"/>
        </w:rPr>
      </w:pPr>
      <w:r>
        <w:rPr>
          <w:rFonts w:ascii="Times New Roman" w:hAnsi="Times New Roman"/>
          <w:sz w:val="20"/>
        </w:rPr>
        <w:t xml:space="preserve">(c) No material non-U.S., federal, state or local Tax audits or administrative or judicial Tax proceedings are pending or being conducted with respect to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before="240" w:after="0"/>
        <w:jc w:val="left"/>
        <w:rPr>
          <w:rFonts w:ascii="Times New Roman" w:hAnsi="Times New Roman"/>
          <w:sz w:val="20"/>
        </w:rPr>
      </w:pPr>
      <w:r>
        <w:rPr>
          <w:rFonts w:ascii="Times New Roman" w:hAnsi="Times New Roman"/>
          <w:sz w:val="20"/>
        </w:rPr>
        <w:t xml:space="preserve">(f) Neither Supernus nor any of its Subsidiaries has been a “distributing corporation” or a “controlled corporation” within the meaning of Section 355(a)(1)(A)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Neither Supernus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before="240" w:after="0"/>
        <w:jc w:val="left"/>
        <w:rPr>
          <w:rFonts w:ascii="Times New Roman" w:hAnsi="Times New Roman"/>
          <w:sz w:val="20"/>
        </w:rPr>
      </w:pPr>
      <w:r>
        <w:rPr>
          <w:rFonts w:ascii="Times New Roman" w:hAnsi="Times New Roman"/>
          <w:sz w:val="20"/>
        </w:rPr>
        <w:t xml:space="preserve">(i) Neither Supernus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Supernus or any of its Subsidiaries is a party to or bound by any: </w:t>
      </w:r>
    </w:p>
    <w:p>
      <w:pPr>
        <w:pStyle w:val="TextBody"/>
        <w:bidi w:val="0"/>
        <w:spacing w:before="120" w:after="0"/>
        <w:jc w:val="left"/>
        <w:rPr>
          <w:rFonts w:ascii="Times New Roman" w:hAnsi="Times New Roman"/>
          <w:sz w:val="20"/>
        </w:rPr>
      </w:pPr>
      <w:r>
        <w:rPr>
          <w:rFonts w:ascii="Times New Roman" w:hAnsi="Times New Roman"/>
          <w:sz w:val="20"/>
        </w:rPr>
        <w:t xml:space="preserve">(i)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before="240" w:after="0"/>
        <w:jc w:val="left"/>
        <w:rPr>
          <w:rFonts w:ascii="Times New Roman" w:hAnsi="Times New Roman"/>
          <w:sz w:val="20"/>
        </w:rPr>
      </w:pPr>
      <w:r>
        <w:rPr>
          <w:rFonts w:ascii="Times New Roman" w:hAnsi="Times New Roman"/>
          <w:sz w:val="20"/>
        </w:rPr>
        <w:t xml:space="preserve">(v) Contract establishing any joint ventures, partnerships or similar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 </w:t>
      </w:r>
    </w:p>
    <w:p>
      <w:pPr>
        <w:pStyle w:val="TextBody"/>
        <w:bidi w:val="0"/>
        <w:spacing w:before="240" w:after="0"/>
        <w:jc w:val="left"/>
        <w:rPr>
          <w:rFonts w:ascii="Times New Roman" w:hAnsi="Times New Roman"/>
          <w:sz w:val="20"/>
        </w:rPr>
      </w:pPr>
      <w:r>
        <w:rPr>
          <w:rFonts w:ascii="Times New Roman" w:hAnsi="Times New Roman"/>
          <w:sz w:val="20"/>
        </w:rPr>
        <w:t xml:space="preserve">(vii) each Government Contract, apart from Contracts with Centers for Medicare and Medicaid Services; </w:t>
      </w:r>
    </w:p>
    <w:p>
      <w:pPr>
        <w:pStyle w:val="TextBody"/>
        <w:bidi w:val="0"/>
        <w:spacing w:before="240" w:after="0"/>
        <w:jc w:val="left"/>
        <w:rPr>
          <w:rFonts w:ascii="Times New Roman" w:hAnsi="Times New Roman"/>
          <w:sz w:val="20"/>
        </w:rPr>
      </w:pPr>
      <w:r>
        <w:rPr>
          <w:rFonts w:ascii="Times New Roman" w:hAnsi="Times New Roman"/>
          <w:sz w:val="20"/>
        </w:rPr>
        <w:t xml:space="preserve">(viii) each Supernus IP Contract; </w:t>
      </w:r>
    </w:p>
    <w:p>
      <w:pPr>
        <w:pStyle w:val="TextBody"/>
        <w:bidi w:val="0"/>
        <w:spacing w:before="240" w:after="0"/>
        <w:jc w:val="left"/>
        <w:rPr>
          <w:rFonts w:ascii="Times New Roman" w:hAnsi="Times New Roman"/>
          <w:sz w:val="20"/>
        </w:rPr>
      </w:pPr>
      <w:r>
        <w:rPr>
          <w:rFonts w:ascii="Times New Roman" w:hAnsi="Times New Roman"/>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Contract between Supernus, on the one hand, and any Affiliate of Supernus (other than a Subsidiary of Supernus),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(xii) Contract containing a right of first refusal, right of first negotiation or right of first offer in favor of a party other than Supernus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Contract under which Supernus and Supernus’ Subsidiaries are expected to make annual expenditures (excluding sales commissions) or receive annual revenues in excess of $1,000,000 during the current or a subsequent fiscal year; or </w:t>
      </w:r>
    </w:p>
    <w:p>
      <w:pPr>
        <w:pStyle w:val="TextBody"/>
        <w:bidi w:val="0"/>
        <w:spacing w:before="240" w:after="0"/>
        <w:jc w:val="left"/>
        <w:rPr>
          <w:rFonts w:ascii="Times New Roman" w:hAnsi="Times New Roman"/>
          <w:sz w:val="20"/>
        </w:rPr>
      </w:pPr>
      <w:r>
        <w:rPr>
          <w:rFonts w:ascii="Times New Roman" w:hAnsi="Times New Roman"/>
          <w:sz w:val="20"/>
        </w:rPr>
        <w:t xml:space="preserve">(xiv) Contract to enter into any Contract of the type described in the foregoing clauses (i) through (xiii). </w:t>
      </w:r>
    </w:p>
    <w:p>
      <w:pPr>
        <w:pStyle w:val="TextBody"/>
        <w:bidi w:val="0"/>
        <w:spacing w:before="240" w:after="0"/>
        <w:jc w:val="left"/>
        <w:rPr>
          <w:rFonts w:ascii="Times New Roman" w:hAnsi="Times New Roman"/>
          <w:sz w:val="20"/>
        </w:rPr>
      </w:pPr>
      <w:r>
        <w:rPr>
          <w:rFonts w:ascii="Times New Roman" w:hAnsi="Times New Roman"/>
          <w:sz w:val="20"/>
        </w:rPr>
        <w:t xml:space="preserve">(b)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 w:hAnsi="Times New Roman"/>
          <w:b/>
          <w:sz w:val="20"/>
        </w:rPr>
        <w:t>Supernus Material Contract</w:t>
      </w:r>
      <w:r>
        <w:rPr>
          <w:rFonts w:ascii="Times New Roman" w:hAnsi="Times New Roman"/>
          <w:sz w:val="20"/>
        </w:rPr>
        <w:t>” and, collectively, the “</w:t>
      </w:r>
      <w:r>
        <w:rPr>
          <w:rFonts w:ascii="Times New Roman" w:hAnsi="Times New Roman"/>
          <w:b/>
          <w:sz w:val="20"/>
        </w:rPr>
        <w:t>Supernus Material Contracts</w:t>
      </w:r>
      <w:r>
        <w:rPr>
          <w:rFonts w:ascii="Times New Roman" w:hAnsi="Times New Roman"/>
          <w:sz w:val="20"/>
        </w:rPr>
        <w:t xml:space="preserve">”) and (ii) to Supernus’ knowledge, as of the date hereof, the parties other than Supernus or any of its Subsidiaries to each of the Supernus Material Contracts is 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 w:hAnsi="Times New Roman"/>
          <w:b/>
          <w:sz w:val="20"/>
        </w:rPr>
        <w:t>Supernus Registered Intellectual Property</w:t>
      </w:r>
      <w:r>
        <w:rPr>
          <w:rFonts w:ascii="Times New Roman" w:hAnsi="Times New Roman"/>
          <w:sz w:val="20"/>
        </w:rPr>
        <w:t xml:space="preserve">”)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be interpreted as a representation of non-infringement of third-party Intellectual Property, which is dealt with exclusively in </w:t>
      </w:r>
      <w:r>
        <w:rPr>
          <w:rFonts w:ascii="Times New Roman" w:hAnsi="Times New Roman"/>
          <w:sz w:val="20"/>
          <w:u w:val="single"/>
        </w:rPr>
        <w:t>Section 3.13(e)</w:t>
      </w:r>
      <w:r>
        <w:rPr>
          <w:rFonts w:ascii="Times New Roman" w:hAnsi="Times New Roman"/>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 </w:t>
      </w:r>
    </w:p>
    <w:p>
      <w:pPr>
        <w:pStyle w:val="TextBody"/>
        <w:bidi w:val="0"/>
        <w:spacing w:before="240" w:after="0"/>
        <w:jc w:val="left"/>
        <w:rPr>
          <w:rFonts w:ascii="Times New Roman" w:hAnsi="Times New Roman"/>
          <w:sz w:val="20"/>
        </w:rPr>
      </w:pPr>
      <w:r>
        <w:rPr>
          <w:rFonts w:ascii="Times New Roman" w:hAnsi="Times New Roman"/>
          <w:sz w:val="20"/>
        </w:rPr>
        <w:t xml:space="preserve">(f)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Supernus’ knowledge, since January 1, 2023, none of Supernus or any of its Subsidiaries has been under investigation by any state, federal, or foreign jurisdiction regarding its protection, storage, use, disclosure, and transfer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Litigation</w:t>
      </w:r>
      <w:r>
        <w:rPr>
          <w:rFonts w:ascii="Times New Roman" w:hAnsi="Times New Roman"/>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 w:hAnsi="Times New Roman"/>
          <w:sz w:val="20"/>
          <w:u w:val="single"/>
        </w:rPr>
        <w:t>Section 3.15</w:t>
      </w:r>
      <w:r>
        <w:rPr>
          <w:rFonts w:ascii="Times New Roman" w:hAnsi="Times New Roman"/>
          <w:sz w:val="20"/>
        </w:rPr>
        <w:t xml:space="preserve"> shall not apply to Taxes, with respect to which exclusively the representations and warranties in </w:t>
      </w:r>
      <w:r>
        <w:rPr>
          <w:rFonts w:ascii="Times New Roman" w:hAnsi="Times New Roman"/>
          <w:sz w:val="20"/>
          <w:u w:val="single"/>
        </w:rPr>
        <w:t>Section 3.11</w:t>
      </w:r>
      <w:r>
        <w:rPr>
          <w:rFonts w:ascii="Times New Roman" w:hAnsi="Times New Roman"/>
          <w:sz w:val="20"/>
        </w:rPr>
        <w:t xml:space="preserve"> shall apply.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Insurance</w:t>
      </w:r>
      <w:r>
        <w:rPr>
          <w:rFonts w:ascii="Times New Roman" w:hAnsi="Times New Roman"/>
          <w:sz w:val="20"/>
        </w:rPr>
        <w:t xml:space="preserve">.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of the Code, ERISA and other 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 </w:t>
      </w:r>
    </w:p>
    <w:p>
      <w:pPr>
        <w:pStyle w:val="TextBody"/>
        <w:bidi w:val="0"/>
        <w:spacing w:before="240" w:after="0"/>
        <w:jc w:val="left"/>
        <w:rPr>
          <w:rFonts w:ascii="Times New Roman" w:hAnsi="Times New Roman"/>
          <w:sz w:val="20"/>
        </w:rPr>
      </w:pPr>
      <w:r>
        <w:rPr>
          <w:rFonts w:ascii="Times New Roman" w:hAnsi="Times New Roman"/>
          <w:sz w:val="20"/>
        </w:rPr>
        <w:t xml:space="preserve">(e)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 </w:t>
      </w:r>
    </w:p>
    <w:p>
      <w:pPr>
        <w:pStyle w:val="TextBody"/>
        <w:bidi w:val="0"/>
        <w:spacing w:before="240" w:after="0"/>
        <w:jc w:val="left"/>
        <w:rPr>
          <w:rFonts w:ascii="Times New Roman" w:hAnsi="Times New Roman"/>
          <w:sz w:val="20"/>
        </w:rPr>
      </w:pPr>
      <w:r>
        <w:rPr>
          <w:rFonts w:ascii="Times New Roman" w:hAnsi="Times New Roman"/>
          <w:sz w:val="20"/>
        </w:rPr>
        <w:t xml:space="preserve">(h)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Compliance with Law; Permits; 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 w:hAnsi="Times New Roman"/>
          <w:sz w:val="20"/>
          <w:u w:val="single"/>
        </w:rPr>
        <w:t>Section 3.18</w:t>
      </w:r>
      <w:r>
        <w:rPr>
          <w:rFonts w:ascii="Times New Roman" w:hAnsi="Times New Roman"/>
          <w:sz w:val="20"/>
        </w:rPr>
        <w:t xml:space="preserve"> shall not apply to Taxes, employee benefit plans, environmental matters, labor and employment matters or regulatory matters, which are the subjects exclusively of the representations and warranties in </w:t>
      </w:r>
      <w:r>
        <w:rPr>
          <w:rFonts w:ascii="Times New Roman" w:hAnsi="Times New Roman"/>
          <w:sz w:val="20"/>
          <w:u w:val="single"/>
        </w:rPr>
        <w:t>Section 3.11</w:t>
      </w:r>
      <w:r>
        <w:rPr>
          <w:rFonts w:ascii="Times New Roman" w:hAnsi="Times New Roman"/>
          <w:sz w:val="20"/>
        </w:rPr>
        <w:t xml:space="preserve">, </w:t>
      </w:r>
      <w:r>
        <w:rPr>
          <w:rFonts w:ascii="Times New Roman" w:hAnsi="Times New Roman"/>
          <w:sz w:val="20"/>
          <w:u w:val="single"/>
        </w:rPr>
        <w:t>Section 3.17</w:t>
      </w:r>
      <w:r>
        <w:rPr>
          <w:rFonts w:ascii="Times New Roman" w:hAnsi="Times New Roman"/>
          <w:sz w:val="20"/>
        </w:rPr>
        <w:t xml:space="preserve">, </w:t>
      </w:r>
      <w:r>
        <w:rPr>
          <w:rFonts w:ascii="Times New Roman" w:hAnsi="Times New Roman"/>
          <w:sz w:val="20"/>
          <w:u w:val="single"/>
        </w:rPr>
        <w:t>Section 3.20</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and </w:t>
      </w:r>
      <w:r>
        <w:rPr>
          <w:rFonts w:ascii="Times New Roman" w:hAnsi="Times New Roman"/>
          <w:sz w:val="20"/>
          <w:u w:val="single"/>
        </w:rPr>
        <w:t>Section 3.22</w:t>
      </w:r>
      <w:r>
        <w:rPr>
          <w:rFonts w:ascii="Times New Roman" w:hAnsi="Times New Roman"/>
          <w:sz w:val="20"/>
        </w:rPr>
        <w:t xml:space="preserv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Supernus and its Subsidiaries are, and for the past six (6) years have been, in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(f) For the past six (6) years, Supernus and its Subsidiaries have maintained an adequate system or systems of internal controls reasonably designed to promote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Trade Laws</w:t>
      </w:r>
      <w:r>
        <w:rPr>
          <w:rFonts w:ascii="Times New Roman" w:hAnsi="Times New Roman"/>
          <w:sz w:val="20"/>
        </w:rPr>
        <w:t xml:space="preserve">. Neither Supernus nor any of its Subsidiaries nor any of their respective directors, officers, employees or agents is a Sanctioned Person. Since April 24, 2019, (a) neither Supernus nor any of its 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Environmental Compliance and Conditions</w:t>
      </w:r>
      <w:r>
        <w:rPr>
          <w:rFonts w:ascii="Times New Roman" w:hAnsi="Times New Roman"/>
          <w:sz w:val="20"/>
        </w:rPr>
        <w:t xml:space="preserve">.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Employment and Labor Matters</w:t>
      </w:r>
      <w:r>
        <w:rPr>
          <w:rFonts w:ascii="Times New Roman" w:hAnsi="Times New Roman"/>
          <w:sz w:val="20"/>
        </w:rPr>
        <w:t xml:space="preserve">.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 w:hAnsi="Times New Roman"/>
          <w:b/>
          <w:sz w:val="20"/>
        </w:rPr>
        <w:t>WARN</w:t>
      </w:r>
      <w:r>
        <w:rPr>
          <w:rFonts w:ascii="Times New Roman" w:hAnsi="Times New Roman"/>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 w:hAnsi="Times New Roman"/>
          <w:b/>
          <w:sz w:val="20"/>
        </w:rPr>
        <w:t>Misconduct Allegation</w:t>
      </w:r>
      <w:r>
        <w:rPr>
          <w:rFonts w:ascii="Times New Roman" w:hAnsi="Times New Roman"/>
          <w:sz w:val="20"/>
        </w:rPr>
        <w:t xml:space="preserve">”)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FDA and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 </w:t>
      </w:r>
    </w:p>
    <w:p>
      <w:pPr>
        <w:pStyle w:val="TextBody"/>
        <w:bidi w:val="0"/>
        <w:spacing w:before="240" w:after="0"/>
        <w:jc w:val="left"/>
        <w:rPr>
          <w:rFonts w:ascii="Times New Roman" w:hAnsi="Times New Roman"/>
          <w:sz w:val="20"/>
        </w:rPr>
      </w:pPr>
      <w:r>
        <w:rPr>
          <w:rFonts w:ascii="Times New Roman" w:hAnsi="Times New Roman"/>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 w:hAnsi="Times New Roman"/>
          <w:b/>
          <w:sz w:val="20"/>
        </w:rPr>
        <w:t>Supernus Licenses</w:t>
      </w:r>
      <w:r>
        <w:rPr>
          <w:rFonts w:ascii="Times New Roman" w:hAnsi="Times New Roman"/>
          <w:sz w:val="20"/>
        </w:rPr>
        <w:t xml:space="preserve">”),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2023, all preclinical and nonclinical studies and clinical investigations or clinical trials that have been or are being conducted by or on behalf of Supernus,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before="240" w:after="0"/>
        <w:jc w:val="left"/>
        <w:rPr>
          <w:rFonts w:ascii="Times New Roman" w:hAnsi="Times New Roman"/>
          <w:sz w:val="20"/>
        </w:rPr>
      </w:pPr>
      <w:r>
        <w:rPr>
          <w:rFonts w:ascii="Times New Roman" w:hAnsi="Times New Roman"/>
          <w:sz w:val="20"/>
        </w:rPr>
        <w:t xml:space="preserve">(h)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before="240" w:after="0"/>
        <w:jc w:val="left"/>
        <w:rPr>
          <w:rFonts w:ascii="Times New Roman" w:hAnsi="Times New Roman"/>
          <w:sz w:val="20"/>
        </w:rPr>
      </w:pPr>
      <w:r>
        <w:rPr>
          <w:rFonts w:ascii="Times New Roman" w:hAnsi="Times New Roman"/>
          <w:sz w:val="20"/>
        </w:rPr>
        <w:t xml:space="preserve">(i)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Government Contracts</w:t>
      </w:r>
      <w:r>
        <w:rPr>
          <w:rFonts w:ascii="Times New Roman" w:hAnsi="Times New Roman"/>
          <w:sz w:val="20"/>
        </w:rPr>
        <w:t xml:space="preserve">. With respect to each Government Contract to which Supernus is currently a party or has received final payment prior to the date hereof and to each Government Bid: </w:t>
      </w:r>
    </w:p>
    <w:p>
      <w:pPr>
        <w:pStyle w:val="TextBody"/>
        <w:bidi w:val="0"/>
        <w:spacing w:before="120" w:after="0"/>
        <w:jc w:val="left"/>
        <w:rPr>
          <w:rFonts w:ascii="Times New Roman" w:hAnsi="Times New Roman"/>
          <w:sz w:val="20"/>
        </w:rPr>
      </w:pPr>
      <w:r>
        <w:rPr>
          <w:rFonts w:ascii="Times New Roman" w:hAnsi="Times New Roman"/>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 w:hAnsi="Times New Roman"/>
          <w:b/>
          <w:sz w:val="20"/>
        </w:rPr>
        <w:t>FAR</w:t>
      </w:r>
      <w:r>
        <w:rPr>
          <w:rFonts w:ascii="Times New Roman" w:hAnsi="Times New Roman"/>
          <w:sz w:val="20"/>
        </w:rPr>
        <w:t xml:space="preserve">”) to the extent applicable to the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before="240" w:after="0"/>
        <w:jc w:val="left"/>
        <w:rPr>
          <w:rFonts w:ascii="Times New Roman" w:hAnsi="Times New Roman"/>
          <w:sz w:val="20"/>
        </w:rPr>
      </w:pPr>
      <w:r>
        <w:rPr>
          <w:rFonts w:ascii="Times New Roman" w:hAnsi="Times New Roman"/>
          <w:sz w:val="20"/>
        </w:rPr>
        <w:t xml:space="preserve">(c)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Supernus,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before="240" w:after="0"/>
        <w:jc w:val="left"/>
        <w:rPr>
          <w:rFonts w:ascii="Times New Roman" w:hAnsi="Times New Roman"/>
          <w:sz w:val="20"/>
        </w:rPr>
      </w:pPr>
      <w:r>
        <w:rPr>
          <w:rFonts w:ascii="Times New Roman" w:hAnsi="Times New Roman"/>
          <w:sz w:val="20"/>
        </w:rPr>
        <w:t xml:space="preserve">(f)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Brokerage</w:t>
      </w:r>
      <w:r>
        <w:rPr>
          <w:rFonts w:ascii="Times New Roman" w:hAnsi="Times New Roman"/>
          <w:sz w:val="20"/>
        </w:rPr>
        <w:t xml:space="preserve">.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Disclosure</w:t>
      </w:r>
      <w:r>
        <w:rPr>
          <w:rFonts w:ascii="Times New Roman" w:hAnsi="Times New Roman"/>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 w:hAnsi="Times New Roman"/>
          <w:sz w:val="20"/>
          <w:u w:val="single"/>
        </w:rPr>
        <w:t>Section 3.25</w:t>
      </w:r>
      <w:r>
        <w:rPr>
          <w:rFonts w:ascii="Times New Roman" w:hAnsi="Times New Roman"/>
          <w:sz w:val="20"/>
        </w:rPr>
        <w:t xml:space="preserve"> will not apply to statements or omissions included in the Registration Statement or Joint Proxy Statement upon information furnished to Supernus in writing by Indivior specifically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Board Approval; Vote Required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 w:hAnsi="Times New Roman"/>
          <w:sz w:val="20"/>
          <w:u w:val="single"/>
        </w:rPr>
        <w:t>Section 6.4</w:t>
      </w:r>
      <w:r>
        <w:rPr>
          <w:rFonts w:ascii="Times New Roman" w:hAnsi="Times New Roman"/>
          <w:sz w:val="20"/>
        </w:rPr>
        <w:t xml:space="preserve">, such resolutions have not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all outstanding Supernus Shares entitled to vote thereon (the “</w:t>
      </w:r>
      <w:r>
        <w:rPr>
          <w:rFonts w:ascii="Times New Roman" w:hAnsi="Times New Roman"/>
          <w:b/>
          <w:sz w:val="20"/>
        </w:rPr>
        <w:t>Supernus Stockholder Approval</w:t>
      </w:r>
      <w:r>
        <w:rPr>
          <w:rFonts w:ascii="Times New Roman" w:hAnsi="Times New Roman"/>
          <w:sz w:val="20"/>
        </w:rPr>
        <w:t xml:space="preserve">”) is necessary to adopt this Agreement. Other than the Supernus Stockholder Approval, no other corporate proceeding is necessary to authorize the execution, delivery or performance of this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Takeover Statute</w:t>
      </w:r>
      <w:r>
        <w:rPr>
          <w:rFonts w:ascii="Times New Roman" w:hAnsi="Times New Roman"/>
          <w:sz w:val="20"/>
        </w:rPr>
        <w:t xml:space="preserve">.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Opinion of Supernus’ Financial Advisor</w:t>
      </w:r>
      <w:r>
        <w:rPr>
          <w:rFonts w:ascii="Times New Roman" w:hAnsi="Times New Roman"/>
          <w:sz w:val="20"/>
        </w:rPr>
        <w:t xml:space="preserve">.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INDIVIOR AND MERGER SUB </w:t>
      </w:r>
    </w:p>
    <w:p>
      <w:pPr>
        <w:pStyle w:val="TextBody"/>
        <w:bidi w:val="0"/>
        <w:spacing w:before="240" w:after="0"/>
        <w:jc w:val="left"/>
        <w:rPr>
          <w:rFonts w:ascii="Times New Roman" w:hAnsi="Times New Roman"/>
          <w:sz w:val="20"/>
        </w:rPr>
      </w:pPr>
      <w:r>
        <w:rPr>
          <w:rFonts w:ascii="Times New Roman" w:hAnsi="Times New Roman"/>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 w:hAnsi="Times New Roman"/>
          <w:b/>
          <w:sz w:val="20"/>
        </w:rPr>
        <w:t>Indivior Disclosure Letter</w:t>
      </w:r>
      <w:r>
        <w:rPr>
          <w:rFonts w:ascii="Times New Roman" w:hAnsi="Times New Roman"/>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and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 Valid and Binding Agreement</w:t>
      </w:r>
      <w:r>
        <w:rPr>
          <w:rFonts w:ascii="Times New Roman" w:hAnsi="Times New Roman"/>
          <w:sz w:val="20"/>
        </w:rPr>
        <w:t xml:space="preserve">.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4.3(b)</w:t>
      </w:r>
      <w:r>
        <w:rPr>
          <w:rFonts w:ascii="Times New Roman" w:hAnsi="Times New Roman"/>
          <w:sz w:val="20"/>
        </w:rPr>
        <w:t xml:space="preserve">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 </w:t>
      </w:r>
    </w:p>
    <w:p>
      <w:pPr>
        <w:pStyle w:val="TextBody"/>
        <w:bidi w:val="0"/>
        <w:spacing w:before="240" w:after="0"/>
        <w:jc w:val="left"/>
        <w:rPr>
          <w:rFonts w:ascii="Times New Roman" w:hAnsi="Times New Roman"/>
          <w:sz w:val="20"/>
        </w:rPr>
      </w:pPr>
      <w:r>
        <w:rPr>
          <w:rFonts w:ascii="Times New Roman" w:hAnsi="Times New Roman"/>
          <w:sz w:val="20"/>
        </w:rPr>
        <w:t xml:space="preserve">(d) All of the outstanding Indivior PSUs, Indivior RSUs, Indivior ESPP Purchase Rights and Indivior UK Option Plan Purchase Rights have been duly authorized by all necessary corporate action and were granted in accordance with the terms of all applicable Plans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there is no stockholder rights plan, “poison pill” antitakeover plan or similar device in effect to which Indivior or any of its Subsidiaries is subject, a party to or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Subsidiaries</w:t>
      </w:r>
      <w:r>
        <w:rPr>
          <w:rFonts w:ascii="Times New Roman" w:hAnsi="Times New Roman"/>
          <w:sz w:val="20"/>
        </w:rPr>
        <w:t xml:space="preserve">.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 w:hAnsi="Times New Roman"/>
          <w:b/>
          <w:sz w:val="20"/>
        </w:rPr>
        <w:t>Indivior Subsidiary Securities</w:t>
      </w:r>
      <w:r>
        <w:rPr>
          <w:rFonts w:ascii="Times New Roman" w:hAnsi="Times New Roman"/>
          <w:sz w:val="20"/>
        </w:rPr>
        <w:t xml:space="preserve">”).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 Breach</w:t>
      </w:r>
      <w:r>
        <w:rPr>
          <w:rFonts w:ascii="Times New Roman" w:hAnsi="Times New Roman"/>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Indivior’s or any of its Subsidiaries’ Organizational Documents, (b) assuming all consents, approvals, authorizations and other actions described in </w:t>
      </w:r>
      <w:r>
        <w:rPr>
          <w:rFonts w:ascii="Times New Roman" w:hAnsi="Times New Roman"/>
          <w:sz w:val="20"/>
          <w:u w:val="single"/>
        </w:rPr>
        <w:t>Section 4.6</w:t>
      </w:r>
      <w:r>
        <w:rPr>
          <w:rFonts w:ascii="Times New Roman" w:hAnsi="Times New Roman"/>
          <w:sz w:val="20"/>
        </w:rPr>
        <w:t xml:space="preserve"> have been obtained and all filings and obligations described in </w:t>
      </w:r>
      <w:r>
        <w:rPr>
          <w:rFonts w:ascii="Times New Roman" w:hAnsi="Times New Roman"/>
          <w:sz w:val="20"/>
          <w:u w:val="single"/>
        </w:rPr>
        <w:t>Section 4.6</w:t>
      </w:r>
      <w:r>
        <w:rPr>
          <w:rFonts w:ascii="Times New Roman" w:hAnsi="Times New Roman"/>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Consents, etc</w:t>
      </w:r>
      <w:r>
        <w:rPr>
          <w:rFonts w:ascii="Times New Roman" w:hAnsi="Times New Roman"/>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SEC Reports; Disclosure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 w:hAnsi="Times New Roman"/>
          <w:b/>
          <w:sz w:val="20"/>
        </w:rPr>
        <w:t>Indivior SEC Documents</w:t>
      </w:r>
      <w:r>
        <w:rPr>
          <w:rFonts w:ascii="Times New Roman" w:hAnsi="Times New Roman"/>
          <w:sz w:val="20"/>
        </w:rPr>
        <w:t xml:space="preserve">”).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 </w:t>
      </w:r>
    </w:p>
    <w:p>
      <w:pPr>
        <w:pStyle w:val="TextBody"/>
        <w:bidi w:val="0"/>
        <w:spacing w:before="240" w:after="0"/>
        <w:jc w:val="left"/>
        <w:rPr>
          <w:rFonts w:ascii="Times New Roman" w:hAnsi="Times New Roman"/>
          <w:sz w:val="20"/>
        </w:rPr>
      </w:pPr>
      <w:r>
        <w:rPr>
          <w:rFonts w:ascii="Times New Roman" w:hAnsi="Times New Roman"/>
          <w:sz w:val="20"/>
        </w:rPr>
        <w:t xml:space="preserve">(f) Indivior is in material compliance with the applicable listing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 Undisclosed Liabilities</w:t>
      </w:r>
      <w:r>
        <w:rPr>
          <w:rFonts w:ascii="Times New Roman" w:hAnsi="Times New Roman"/>
          <w:sz w:val="20"/>
        </w:rPr>
        <w:t xml:space="preserve">.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Absence of Certain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Indivior Balance Sheet Date, there has not been any Indivior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 </w:t>
      </w:r>
    </w:p>
    <w:p>
      <w:pPr>
        <w:pStyle w:val="TextBody"/>
        <w:bidi w:val="0"/>
        <w:spacing w:before="120" w:after="0"/>
        <w:jc w:val="left"/>
        <w:rPr>
          <w:rFonts w:ascii="Times New Roman" w:hAnsi="Times New Roman"/>
          <w:sz w:val="20"/>
        </w:rPr>
      </w:pPr>
      <w:r>
        <w:rPr>
          <w:rFonts w:ascii="Times New Roman" w:hAnsi="Times New Roman"/>
          <w:sz w:val="20"/>
        </w:rPr>
        <w:t xml:space="preserve">(i) amended or modified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(iv) declared or paid any dividend or other distribution of the assets of Indivior; </w:t>
      </w:r>
    </w:p>
    <w:p>
      <w:pPr>
        <w:pStyle w:val="TextBody"/>
        <w:bidi w:val="0"/>
        <w:spacing w:before="240" w:after="0"/>
        <w:jc w:val="left"/>
        <w:rPr>
          <w:rFonts w:ascii="Times New Roman" w:hAnsi="Times New Roman"/>
          <w:sz w:val="20"/>
        </w:rPr>
      </w:pPr>
      <w:r>
        <w:rPr>
          <w:rFonts w:ascii="Times New Roman" w:hAnsi="Times New Roman"/>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 </w:t>
      </w:r>
    </w:p>
    <w:p>
      <w:pPr>
        <w:pStyle w:val="TextBody"/>
        <w:bidi w:val="0"/>
        <w:spacing w:before="240" w:after="0"/>
        <w:jc w:val="left"/>
        <w:rPr>
          <w:rFonts w:ascii="Times New Roman" w:hAnsi="Times New Roman"/>
          <w:sz w:val="20"/>
        </w:rPr>
      </w:pPr>
      <w:r>
        <w:rPr>
          <w:rFonts w:ascii="Times New Roman" w:hAnsi="Times New Roman"/>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(vii) except as required by applicable Law, adopted or materially amended any Indivior Plans; </w:t>
      </w:r>
    </w:p>
    <w:p>
      <w:pPr>
        <w:pStyle w:val="TextBody"/>
        <w:bidi w:val="0"/>
        <w:spacing w:before="240" w:after="0"/>
        <w:jc w:val="left"/>
        <w:rPr>
          <w:rFonts w:ascii="Times New Roman" w:hAnsi="Times New Roman"/>
          <w:sz w:val="20"/>
        </w:rPr>
      </w:pPr>
      <w:r>
        <w:rPr>
          <w:rFonts w:ascii="Times New Roman" w:hAnsi="Times New Roman"/>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(ix) entered into, amended, or modified any collective bargaining agreement or Contract with any labor union, trade organization or other employee representative body; </w:t>
      </w:r>
    </w:p>
    <w:p>
      <w:pPr>
        <w:pStyle w:val="TextBody"/>
        <w:bidi w:val="0"/>
        <w:spacing w:before="240" w:after="0"/>
        <w:jc w:val="left"/>
        <w:rPr>
          <w:rFonts w:ascii="Times New Roman" w:hAnsi="Times New Roman"/>
          <w:sz w:val="20"/>
        </w:rPr>
      </w:pPr>
      <w:r>
        <w:rPr>
          <w:rFonts w:ascii="Times New Roman" w:hAnsi="Times New Roman"/>
          <w:sz w:val="20"/>
        </w:rPr>
        <w:t xml:space="preserve">(x) commenced or settled any Action in which the amount in dispute is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(xi) made any material change in accounting principles, methods, procedures or policies,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(xii) made, changed or revoked any material Tax election, or settled or compromised any material Tax claim or liabilities, or filed any substantially amended material Tax Return; </w:t>
      </w:r>
    </w:p>
    <w:p>
      <w:pPr>
        <w:pStyle w:val="TextBody"/>
        <w:bidi w:val="0"/>
        <w:spacing w:before="240" w:after="0"/>
        <w:jc w:val="left"/>
        <w:rPr>
          <w:rFonts w:ascii="Times New Roman" w:hAnsi="Times New Roman"/>
          <w:sz w:val="20"/>
        </w:rPr>
      </w:pPr>
      <w:r>
        <w:rPr>
          <w:rFonts w:ascii="Times New Roman" w:hAnsi="Times New Roman"/>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except in the ordinary course of business consistent with past practice, incurred or discharged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(xv) made capital expenditures individually in excess of $750,000; </w:t>
      </w:r>
    </w:p>
    <w:p>
      <w:pPr>
        <w:pStyle w:val="TextBody"/>
        <w:bidi w:val="0"/>
        <w:spacing w:before="240" w:after="0"/>
        <w:jc w:val="left"/>
        <w:rPr>
          <w:rFonts w:ascii="Times New Roman" w:hAnsi="Times New Roman"/>
          <w:sz w:val="20"/>
        </w:rPr>
      </w:pPr>
      <w:r>
        <w:rPr>
          <w:rFonts w:ascii="Times New Roman" w:hAnsi="Times New Roman"/>
          <w:sz w:val="20"/>
        </w:rPr>
        <w:t xml:space="preserve">(xvi) suffered any material damage, destruction or loss, whether or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(xviii) been subject to any written claim or written threat of infringement, misappropriation or other violation by or against Indivior or any of its Subsidiaries of Intellectual Property rights of Indivior or any of its Subsidiaries or a third party; </w:t>
      </w:r>
    </w:p>
    <w:p>
      <w:pPr>
        <w:pStyle w:val="TextBody"/>
        <w:bidi w:val="0"/>
        <w:spacing w:before="240" w:after="0"/>
        <w:jc w:val="left"/>
        <w:rPr>
          <w:rFonts w:ascii="Times New Roman" w:hAnsi="Times New Roman"/>
          <w:sz w:val="20"/>
        </w:rPr>
      </w:pPr>
      <w:r>
        <w:rPr>
          <w:rFonts w:ascii="Times New Roman" w:hAnsi="Times New Roman"/>
          <w:sz w:val="20"/>
        </w:rPr>
        <w:t xml:space="preserve">(xix) materially reduced the amount of any insurance coverage provided by existing insurance policies; or </w:t>
      </w:r>
    </w:p>
    <w:p>
      <w:pPr>
        <w:pStyle w:val="TextBody"/>
        <w:bidi w:val="0"/>
        <w:spacing w:before="240" w:after="0"/>
        <w:jc w:val="left"/>
        <w:rPr>
          <w:rFonts w:ascii="Times New Roman" w:hAnsi="Times New Roman"/>
          <w:sz w:val="20"/>
        </w:rPr>
      </w:pPr>
      <w:r>
        <w:rPr>
          <w:rFonts w:ascii="Times New Roman" w:hAnsi="Times New Roman"/>
          <w:sz w:val="20"/>
        </w:rPr>
        <w:t xml:space="preserve">(xx) committed to do or take any of the actions described in the foregoing clauses (i) through (xix).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Title to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would not constitute an Indivior Material Adverse Effect. To Indivior’s knowledge, all such items of tangible personal property are in normal operating condition and repair (ordinary wear and tear excepted) and have been maintained in accordance with normal industry practices. </w:t>
      </w:r>
    </w:p>
    <w:p>
      <w:pPr>
        <w:pStyle w:val="TextBody"/>
        <w:bidi w:val="0"/>
        <w:spacing w:before="240" w:after="0"/>
        <w:jc w:val="left"/>
        <w:rPr>
          <w:rFonts w:ascii="Times New Roman" w:hAnsi="Times New Roman"/>
          <w:sz w:val="20"/>
        </w:rPr>
      </w:pPr>
      <w:r>
        <w:rPr>
          <w:rFonts w:ascii="Times New Roman" w:hAnsi="Times New Roman"/>
          <w:sz w:val="20"/>
        </w:rPr>
        <w:t>(b) The Indivior Owned Real Property and leased real property described in Section 4.10(b) of the Indivior Disclosure Letter (the “</w:t>
      </w:r>
      <w:r>
        <w:rPr>
          <w:rFonts w:ascii="Times New Roman" w:hAnsi="Times New Roman"/>
          <w:b/>
          <w:sz w:val="20"/>
        </w:rPr>
        <w:t>Indivior Real Property</w:t>
      </w:r>
      <w:r>
        <w:rPr>
          <w:rFonts w:ascii="Times New Roman" w:hAnsi="Times New Roman"/>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 w:hAnsi="Times New Roman"/>
          <w:b/>
          <w:sz w:val="20"/>
        </w:rPr>
        <w:t>Indivior Owned Real Property</w:t>
      </w:r>
      <w:r>
        <w:rPr>
          <w:rFonts w:ascii="Times New Roman" w:hAnsi="Times New Roman"/>
          <w:sz w:val="20"/>
        </w:rPr>
        <w:t xml:space="preserve">”),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 </w:t>
      </w:r>
    </w:p>
    <w:p>
      <w:pPr>
        <w:pStyle w:val="TextBody"/>
        <w:bidi w:val="0"/>
        <w:spacing w:before="240" w:after="0"/>
        <w:jc w:val="left"/>
        <w:rPr>
          <w:rFonts w:ascii="Times New Roman" w:hAnsi="Times New Roman"/>
          <w:sz w:val="20"/>
        </w:rPr>
      </w:pPr>
      <w:r>
        <w:rPr>
          <w:rFonts w:ascii="Times New Roman" w:hAnsi="Times New Roman"/>
          <w:sz w:val="20"/>
        </w:rPr>
        <w:t xml:space="preserve">(c) No material non-U.S., federal, state or local Tax audits or administrative or judicial Tax proceedings are pending or being conducted with respect to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Indivior nor any of its Subsidiaries has been a “distributing corporation” or a “controlled corporation” within the meaning of Section 355(a)(1)(A)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Neither Indivior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before="240" w:after="0"/>
        <w:jc w:val="left"/>
        <w:rPr>
          <w:rFonts w:ascii="Times New Roman" w:hAnsi="Times New Roman"/>
          <w:sz w:val="20"/>
        </w:rPr>
      </w:pPr>
      <w:r>
        <w:rPr>
          <w:rFonts w:ascii="Times New Roman" w:hAnsi="Times New Roman"/>
          <w:sz w:val="20"/>
        </w:rPr>
        <w:t xml:space="preserve">(i) Neither Indivior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Indivior nor any of its Subsidiaries has taken or omitted to take any action that could reasonably be expected to cause Indivior UK Limited to not be a “qualifying company” within the meaning of section 357B of the UK Corporation Tax Act 2010.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Section 4.12(a) of the Indivior Disclosure Letter, as of the date hereof, none of Indivior or any of its Subsidiaries is a party to or bound by any: </w:t>
      </w:r>
    </w:p>
    <w:p>
      <w:pPr>
        <w:pStyle w:val="TextBody"/>
        <w:bidi w:val="0"/>
        <w:spacing w:before="120" w:after="0"/>
        <w:jc w:val="left"/>
        <w:rPr>
          <w:rFonts w:ascii="Times New Roman" w:hAnsi="Times New Roman"/>
          <w:sz w:val="20"/>
        </w:rPr>
      </w:pPr>
      <w:r>
        <w:rPr>
          <w:rFonts w:ascii="Times New Roman" w:hAnsi="Times New Roman"/>
          <w:sz w:val="20"/>
        </w:rPr>
        <w:t xml:space="preserve">(i)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before="240" w:after="0"/>
        <w:jc w:val="left"/>
        <w:rPr>
          <w:rFonts w:ascii="Times New Roman" w:hAnsi="Times New Roman"/>
          <w:sz w:val="20"/>
        </w:rPr>
      </w:pPr>
      <w:r>
        <w:rPr>
          <w:rFonts w:ascii="Times New Roman" w:hAnsi="Times New Roman"/>
          <w:sz w:val="20"/>
        </w:rPr>
        <w:t xml:space="preserve">(v) Contract establishing any joint ventures, partnerships or similar arrangements; </w:t>
      </w:r>
    </w:p>
    <w:p>
      <w:pPr>
        <w:pStyle w:val="TextBody"/>
        <w:bidi w:val="0"/>
        <w:spacing w:before="240" w:after="0"/>
        <w:jc w:val="left"/>
        <w:rPr>
          <w:rFonts w:ascii="Times New Roman" w:hAnsi="Times New Roman"/>
          <w:sz w:val="20"/>
        </w:rPr>
      </w:pPr>
      <w:r>
        <w:rPr>
          <w:rFonts w:ascii="Times New Roman" w:hAnsi="Times New Roman"/>
          <w:sz w:val="20"/>
        </w:rPr>
        <w:t xml:space="preserve">(vi)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 </w:t>
      </w:r>
    </w:p>
    <w:p>
      <w:pPr>
        <w:pStyle w:val="TextBody"/>
        <w:bidi w:val="0"/>
        <w:spacing w:before="240" w:after="0"/>
        <w:jc w:val="left"/>
        <w:rPr>
          <w:rFonts w:ascii="Times New Roman" w:hAnsi="Times New Roman"/>
          <w:sz w:val="20"/>
        </w:rPr>
      </w:pPr>
      <w:r>
        <w:rPr>
          <w:rFonts w:ascii="Times New Roman" w:hAnsi="Times New Roman"/>
          <w:sz w:val="20"/>
        </w:rPr>
        <w:t xml:space="preserve">(vii) each Government Contract, apart from Contracts with Centers for Medicare and Medicaid Services; </w:t>
      </w:r>
    </w:p>
    <w:p>
      <w:pPr>
        <w:pStyle w:val="TextBody"/>
        <w:bidi w:val="0"/>
        <w:spacing w:before="240" w:after="0"/>
        <w:jc w:val="left"/>
        <w:rPr>
          <w:rFonts w:ascii="Times New Roman" w:hAnsi="Times New Roman"/>
          <w:sz w:val="20"/>
        </w:rPr>
      </w:pPr>
      <w:r>
        <w:rPr>
          <w:rFonts w:ascii="Times New Roman" w:hAnsi="Times New Roman"/>
          <w:sz w:val="20"/>
        </w:rPr>
        <w:t xml:space="preserve">(viii) each Indivior IP Contract; </w:t>
      </w:r>
    </w:p>
    <w:p>
      <w:pPr>
        <w:pStyle w:val="TextBody"/>
        <w:bidi w:val="0"/>
        <w:spacing w:before="240" w:after="0"/>
        <w:jc w:val="left"/>
        <w:rPr>
          <w:rFonts w:ascii="Times New Roman" w:hAnsi="Times New Roman"/>
          <w:sz w:val="20"/>
        </w:rPr>
      </w:pPr>
      <w:r>
        <w:rPr>
          <w:rFonts w:ascii="Times New Roman" w:hAnsi="Times New Roman"/>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Contract between Indivior, on the one hand, and any Affiliate of Indivior (other than a Subsidiary of Indivior),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(xii) Contract containing a right of first refusal, right of first negotiation or right of first offer in favor of a party other than Indivior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Contract under which Indivior and Indivior’s Subsidiaries are expected to make annual expenditures (excluding sales commissions), or receive annual revenues in excess of $1,000,000 during the current or a subsequent fiscal year;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Contract to enter into any Contract of the type described in the foregoing clauses (i) through (xiii). </w:t>
      </w:r>
    </w:p>
    <w:p>
      <w:pPr>
        <w:pStyle w:val="TextBody"/>
        <w:bidi w:val="0"/>
        <w:spacing w:before="240" w:after="0"/>
        <w:jc w:val="left"/>
        <w:rPr>
          <w:rFonts w:ascii="Times New Roman" w:hAnsi="Times New Roman"/>
          <w:sz w:val="20"/>
        </w:rPr>
      </w:pPr>
      <w:r>
        <w:rPr>
          <w:rFonts w:ascii="Times New Roman" w:hAnsi="Times New Roman"/>
          <w:sz w:val="20"/>
        </w:rPr>
        <w:t xml:space="preserve">(b)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 </w:t>
      </w:r>
    </w:p>
    <w:p>
      <w:pPr>
        <w:pStyle w:val="TextBody"/>
        <w:bidi w:val="0"/>
        <w:spacing w:before="240" w:after="0"/>
        <w:jc w:val="left"/>
        <w:rPr>
          <w:rFonts w:ascii="Times New Roman" w:hAnsi="Times New Roman"/>
          <w:sz w:val="20"/>
        </w:rPr>
      </w:pPr>
      <w:r>
        <w:rPr>
          <w:rFonts w:ascii="Times New Roman" w:hAnsi="Times New Roman"/>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 w:hAnsi="Times New Roman"/>
          <w:b/>
          <w:sz w:val="20"/>
        </w:rPr>
        <w:t>Indivior Material Contract</w:t>
      </w:r>
      <w:r>
        <w:rPr>
          <w:rFonts w:ascii="Times New Roman" w:hAnsi="Times New Roman"/>
          <w:sz w:val="20"/>
        </w:rPr>
        <w:t>” and, collectively, the “</w:t>
      </w:r>
      <w:r>
        <w:rPr>
          <w:rFonts w:ascii="Times New Roman" w:hAnsi="Times New Roman"/>
          <w:b/>
          <w:sz w:val="20"/>
        </w:rPr>
        <w:t>Indivior Material Contracts</w:t>
      </w:r>
      <w:r>
        <w:rPr>
          <w:rFonts w:ascii="Times New Roman" w:hAnsi="Times New Roman"/>
          <w:sz w:val="20"/>
        </w:rPr>
        <w:t xml:space="preserve">”)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of the patents, domain names, registered trademarks and service marks, registered copyrights and applications for any of the foregoing, that are currently owned by or exclusively licensed to Indivior or any of its Subsidiaries (collectively, “</w:t>
      </w:r>
      <w:r>
        <w:rPr>
          <w:rFonts w:ascii="Times New Roman" w:hAnsi="Times New Roman"/>
          <w:b/>
          <w:sz w:val="20"/>
        </w:rPr>
        <w:t>Indivior Registered Intellectual Property</w:t>
      </w:r>
      <w:r>
        <w:rPr>
          <w:rFonts w:ascii="Times New Roman" w:hAnsi="Times New Roman"/>
          <w:sz w:val="20"/>
        </w:rPr>
        <w:t xml:space="preserve">”)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be interpreted as a representation of non-infringement of third-party Intellectual Property, which is dealt with exclusively in </w:t>
      </w:r>
      <w:r>
        <w:rPr>
          <w:rFonts w:ascii="Times New Roman" w:hAnsi="Times New Roman"/>
          <w:sz w:val="20"/>
          <w:u w:val="single"/>
        </w:rPr>
        <w:t>Section 4.13(e)</w:t>
      </w:r>
      <w:r>
        <w:rPr>
          <w:rFonts w:ascii="Times New Roman" w:hAnsi="Times New Roman"/>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party acting at Indivior’s direction or authorization has paid any perpetrator of any actual or threatened security incident or cyber-attack, including a ransomware attack or a denial-of-service attack. </w:t>
      </w:r>
    </w:p>
    <w:p>
      <w:pPr>
        <w:pStyle w:val="TextBody"/>
        <w:bidi w:val="0"/>
        <w:spacing w:before="240" w:after="0"/>
        <w:jc w:val="left"/>
        <w:rPr>
          <w:rFonts w:ascii="Times New Roman" w:hAnsi="Times New Roman"/>
          <w:sz w:val="20"/>
        </w:rPr>
      </w:pPr>
      <w:r>
        <w:rPr>
          <w:rFonts w:ascii="Times New Roman" w:hAnsi="Times New Roman"/>
          <w:sz w:val="20"/>
        </w:rPr>
        <w:t xml:space="preserve">(c) To Indivior’s knowledge, since January 1, 2023, none of Indivior or any of its Subsidiaries has been under investigation by any state, federal, or foreign jurisdiction regarding its protection, storage, use, disclosure, and transfer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Litigation</w:t>
      </w:r>
      <w:r>
        <w:rPr>
          <w:rFonts w:ascii="Times New Roman" w:hAnsi="Times New Roman"/>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 w:hAnsi="Times New Roman"/>
          <w:sz w:val="20"/>
          <w:u w:val="single"/>
        </w:rPr>
        <w:t>Section 4.15</w:t>
      </w:r>
      <w:r>
        <w:rPr>
          <w:rFonts w:ascii="Times New Roman" w:hAnsi="Times New Roman"/>
          <w:sz w:val="20"/>
        </w:rPr>
        <w:t xml:space="preserve"> shall not apply to Taxes, with respect to which exclusively the representations and warranties in </w:t>
      </w:r>
      <w:r>
        <w:rPr>
          <w:rFonts w:ascii="Times New Roman" w:hAnsi="Times New Roman"/>
          <w:sz w:val="20"/>
          <w:u w:val="single"/>
        </w:rPr>
        <w:t>Section 4.11</w:t>
      </w:r>
      <w:r>
        <w:rPr>
          <w:rFonts w:ascii="Times New Roman" w:hAnsi="Times New Roman"/>
          <w:sz w:val="20"/>
        </w:rPr>
        <w:t xml:space="preserve"> shall apply.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Insurance</w:t>
      </w:r>
      <w:r>
        <w:rPr>
          <w:rFonts w:ascii="Times New Roman" w:hAnsi="Times New Roman"/>
          <w:sz w:val="20"/>
        </w:rPr>
        <w:t xml:space="preserve">.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 </w:t>
      </w:r>
    </w:p>
    <w:p>
      <w:pPr>
        <w:pStyle w:val="TextBody"/>
        <w:bidi w:val="0"/>
        <w:spacing w:before="240" w:after="0"/>
        <w:jc w:val="left"/>
        <w:rPr>
          <w:rFonts w:ascii="Times New Roman" w:hAnsi="Times New Roman"/>
          <w:sz w:val="20"/>
        </w:rPr>
      </w:pPr>
      <w:r>
        <w:rPr>
          <w:rFonts w:ascii="Times New Roman" w:hAnsi="Times New Roman"/>
          <w:sz w:val="20"/>
        </w:rPr>
        <w:t xml:space="preserve">(e)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 </w:t>
      </w:r>
    </w:p>
    <w:p>
      <w:pPr>
        <w:pStyle w:val="TextBody"/>
        <w:bidi w:val="0"/>
        <w:spacing w:before="240" w:after="0"/>
        <w:jc w:val="left"/>
        <w:rPr>
          <w:rFonts w:ascii="Times New Roman" w:hAnsi="Times New Roman"/>
          <w:sz w:val="20"/>
        </w:rPr>
      </w:pPr>
      <w:r>
        <w:rPr>
          <w:rFonts w:ascii="Times New Roman" w:hAnsi="Times New Roman"/>
          <w:sz w:val="20"/>
        </w:rPr>
        <w:t xml:space="preserve">(h)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Compliance with Law; Permits; 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 w:hAnsi="Times New Roman"/>
          <w:sz w:val="20"/>
          <w:u w:val="single"/>
        </w:rPr>
        <w:t>Section 4.18</w:t>
      </w:r>
      <w:r>
        <w:rPr>
          <w:rFonts w:ascii="Times New Roman" w:hAnsi="Times New Roman"/>
          <w:sz w:val="20"/>
        </w:rPr>
        <w:t xml:space="preserve"> shall not apply to Taxes, employee benefit plans, environmental matters, labor and employment matters or regulatory matters, which are the subjects exclusively of the representations and warranties in </w:t>
      </w:r>
      <w:r>
        <w:rPr>
          <w:rFonts w:ascii="Times New Roman" w:hAnsi="Times New Roman"/>
          <w:sz w:val="20"/>
          <w:u w:val="single"/>
        </w:rPr>
        <w:t>Section 4.11</w:t>
      </w:r>
      <w:r>
        <w:rPr>
          <w:rFonts w:ascii="Times New Roman" w:hAnsi="Times New Roman"/>
          <w:sz w:val="20"/>
        </w:rPr>
        <w:t xml:space="preserve">, </w:t>
      </w:r>
      <w:r>
        <w:rPr>
          <w:rFonts w:ascii="Times New Roman" w:hAnsi="Times New Roman"/>
          <w:sz w:val="20"/>
          <w:u w:val="single"/>
        </w:rPr>
        <w:t>Section 4.17</w:t>
      </w:r>
      <w:r>
        <w:rPr>
          <w:rFonts w:ascii="Times New Roman" w:hAnsi="Times New Roman"/>
          <w:sz w:val="20"/>
        </w:rPr>
        <w:t xml:space="preserve">, </w:t>
      </w:r>
      <w:r>
        <w:rPr>
          <w:rFonts w:ascii="Times New Roman" w:hAnsi="Times New Roman"/>
          <w:sz w:val="20"/>
          <w:u w:val="single"/>
        </w:rPr>
        <w:t>Section 4.21</w:t>
      </w:r>
      <w:r>
        <w:rPr>
          <w:rFonts w:ascii="Times New Roman" w:hAnsi="Times New Roman"/>
          <w:sz w:val="20"/>
        </w:rPr>
        <w:t xml:space="preserve">, </w:t>
      </w:r>
      <w:r>
        <w:rPr>
          <w:rFonts w:ascii="Times New Roman" w:hAnsi="Times New Roman"/>
          <w:sz w:val="20"/>
          <w:u w:val="single"/>
        </w:rPr>
        <w:t>Section 4.22</w:t>
      </w:r>
      <w:r>
        <w:rPr>
          <w:rFonts w:ascii="Times New Roman" w:hAnsi="Times New Roman"/>
          <w:sz w:val="20"/>
        </w:rPr>
        <w:t xml:space="preserve"> and </w:t>
      </w:r>
      <w:r>
        <w:rPr>
          <w:rFonts w:ascii="Times New Roman" w:hAnsi="Times New Roman"/>
          <w:sz w:val="20"/>
          <w:u w:val="single"/>
        </w:rPr>
        <w:t>Section 4.23</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(b) Indivior and its Subsidiaries are, and for the past six (6) years have been, in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(f) For the past six (6) years, Indivior and its Subsidiaries have maintained an adequate system or systems of internal controls reasonably designed to promote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Trade Laws</w:t>
      </w:r>
      <w:r>
        <w:rPr>
          <w:rFonts w:ascii="Times New Roman" w:hAnsi="Times New Roman"/>
          <w:sz w:val="20"/>
        </w:rPr>
        <w:t xml:space="preserve">.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FTC Order</w:t>
      </w:r>
      <w:r>
        <w:rPr>
          <w:rFonts w:ascii="Times New Roman" w:hAnsi="Times New Roman"/>
          <w:sz w:val="20"/>
        </w:rPr>
        <w:t xml:space="preserve">.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Environmental Compliance and Conditions</w:t>
      </w:r>
      <w:r>
        <w:rPr>
          <w:rFonts w:ascii="Times New Roman" w:hAnsi="Times New Roman"/>
          <w:sz w:val="20"/>
        </w:rPr>
        <w:t xml:space="preserve">.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Employment and Labor Matters</w:t>
      </w:r>
      <w:r>
        <w:rPr>
          <w:rFonts w:ascii="Times New Roman" w:hAnsi="Times New Roman"/>
          <w:sz w:val="20"/>
        </w:rPr>
        <w:t xml:space="preserve">.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FDA and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 </w:t>
      </w:r>
    </w:p>
    <w:p>
      <w:pPr>
        <w:pStyle w:val="TextBody"/>
        <w:bidi w:val="0"/>
        <w:spacing w:before="240" w:after="0"/>
        <w:jc w:val="left"/>
        <w:rPr>
          <w:rFonts w:ascii="Times New Roman" w:hAnsi="Times New Roman"/>
          <w:sz w:val="20"/>
        </w:rPr>
      </w:pPr>
      <w:r>
        <w:rPr>
          <w:rFonts w:ascii="Times New Roman" w:hAnsi="Times New Roman"/>
          <w:sz w:val="20"/>
        </w:rPr>
        <w:t>(b)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w:t>
      </w:r>
      <w:r>
        <w:rPr>
          <w:rFonts w:ascii="Times New Roman" w:hAnsi="Times New Roman"/>
          <w:sz w:val="20"/>
          <w:u w:val="single"/>
        </w:rPr>
        <w:t xml:space="preserve"> Licenses</w:t>
      </w:r>
      <w:r>
        <w:rPr>
          <w:rFonts w:ascii="Times New Roman" w:hAnsi="Times New Roman"/>
          <w:sz w:val="20"/>
        </w:rPr>
        <w:t xml:space="preserve">”),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 </w:t>
      </w:r>
    </w:p>
    <w:p>
      <w:pPr>
        <w:pStyle w:val="TextBody"/>
        <w:bidi w:val="0"/>
        <w:spacing w:before="240" w:after="0"/>
        <w:jc w:val="left"/>
        <w:rPr>
          <w:rFonts w:ascii="Times New Roman" w:hAnsi="Times New Roman"/>
          <w:sz w:val="20"/>
        </w:rPr>
      </w:pPr>
      <w:r>
        <w:rPr>
          <w:rFonts w:ascii="Times New Roman" w:hAnsi="Times New Roman"/>
          <w:sz w:val="20"/>
        </w:rPr>
        <w:t xml:space="preserve">(g)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before="240" w:after="0"/>
        <w:jc w:val="left"/>
        <w:rPr>
          <w:rFonts w:ascii="Times New Roman" w:hAnsi="Times New Roman"/>
          <w:sz w:val="20"/>
        </w:rPr>
      </w:pPr>
      <w:r>
        <w:rPr>
          <w:rFonts w:ascii="Times New Roman" w:hAnsi="Times New Roman"/>
          <w:sz w:val="20"/>
        </w:rPr>
        <w:t xml:space="preserve">(h)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before="240" w:after="0"/>
        <w:jc w:val="left"/>
        <w:rPr>
          <w:rFonts w:ascii="Times New Roman" w:hAnsi="Times New Roman"/>
          <w:sz w:val="20"/>
        </w:rPr>
      </w:pPr>
      <w:r>
        <w:rPr>
          <w:rFonts w:ascii="Times New Roman" w:hAnsi="Times New Roman"/>
          <w:sz w:val="20"/>
        </w:rPr>
        <w:t xml:space="preserve">(i)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Government Contracts</w:t>
      </w:r>
      <w:r>
        <w:rPr>
          <w:rFonts w:ascii="Times New Roman" w:hAnsi="Times New Roman"/>
          <w:sz w:val="20"/>
        </w:rPr>
        <w:t xml:space="preserve">. With respect to each Government Contract to which Indivior is currently a party or has received final payment prior to the date hereof and to each Government Bid: </w:t>
      </w:r>
    </w:p>
    <w:p>
      <w:pPr>
        <w:pStyle w:val="TextBody"/>
        <w:bidi w:val="0"/>
        <w:spacing w:before="120" w:after="0"/>
        <w:jc w:val="left"/>
        <w:rPr>
          <w:rFonts w:ascii="Times New Roman" w:hAnsi="Times New Roman"/>
          <w:sz w:val="20"/>
        </w:rPr>
      </w:pPr>
      <w:r>
        <w:rPr>
          <w:rFonts w:ascii="Times New Roman" w:hAnsi="Times New Roman"/>
          <w:sz w:val="20"/>
        </w:rPr>
        <w:t xml:space="preserve">(a)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before="240" w:after="0"/>
        <w:jc w:val="left"/>
        <w:rPr>
          <w:rFonts w:ascii="Times New Roman" w:hAnsi="Times New Roman"/>
          <w:sz w:val="20"/>
        </w:rPr>
      </w:pPr>
      <w:r>
        <w:rPr>
          <w:rFonts w:ascii="Times New Roman" w:hAnsi="Times New Roman"/>
          <w:sz w:val="20"/>
        </w:rPr>
        <w:t xml:space="preserve">(c) All representations and certifications executed, acknowledged or set forth in or pertaining to such Government Contract or Government Bid in the System for Award Management were current, accurate and complete as of their effective date, and Indivior and each of its Subsidiaries has complied in all material respects with all such representations and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Indivior,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Brokerage.</w:t>
      </w:r>
      <w:r>
        <w:rPr>
          <w:rFonts w:ascii="Times New Roman" w:hAnsi="Times New Roman"/>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 </w:t>
      </w:r>
    </w:p>
    <w:p>
      <w:pPr>
        <w:pStyle w:val="TextBody"/>
        <w:bidi w:val="0"/>
        <w:spacing w:before="24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Disclosure</w:t>
      </w:r>
      <w:r>
        <w:rPr>
          <w:rFonts w:ascii="Times New Roman" w:hAnsi="Times New Roman"/>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 w:hAnsi="Times New Roman"/>
          <w:sz w:val="20"/>
          <w:u w:val="single"/>
        </w:rPr>
        <w:t>Section 4.26</w:t>
      </w:r>
      <w:r>
        <w:rPr>
          <w:rFonts w:ascii="Times New Roman" w:hAnsi="Times New Roman"/>
          <w:sz w:val="20"/>
        </w:rPr>
        <w:t xml:space="preserve"> will not apply to statements or omissions included in the Registration Statement or Joint Proxy Statement upon information furnished to Indivior in writing by Supernus specifically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Board Approval; Vote Required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 w:hAnsi="Times New Roman"/>
          <w:sz w:val="20"/>
          <w:u w:val="single"/>
        </w:rPr>
        <w:t>Section 6.4</w:t>
      </w:r>
      <w:r>
        <w:rPr>
          <w:rFonts w:ascii="Times New Roman" w:hAnsi="Times New Roman"/>
          <w:sz w:val="20"/>
        </w:rPr>
        <w:t xml:space="preserve">, such resolutions have not been rescinded, modified or withdrawn in any 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 w:hAnsi="Times New Roman"/>
          <w:b/>
          <w:sz w:val="20"/>
        </w:rPr>
        <w:t>Indivior Stockholder Approval</w:t>
      </w:r>
      <w:r>
        <w:rPr>
          <w:rFonts w:ascii="Times New Roman" w:hAnsi="Times New Roman"/>
          <w:sz w:val="20"/>
        </w:rPr>
        <w:t xml:space="preserve">”) is necessary to approve the Indivior Share Issuance. Other than the Indivior Stockholder Approval, no other corporate proceeding is necessary to authorize the execution, delivery or performance of this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Takeover Statute</w:t>
      </w:r>
      <w:r>
        <w:rPr>
          <w:rFonts w:ascii="Times New Roman" w:hAnsi="Times New Roman"/>
          <w:sz w:val="20"/>
        </w:rPr>
        <w:t xml:space="preserve">.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4.29 </w:t>
      </w:r>
      <w:r>
        <w:rPr>
          <w:rFonts w:ascii="Times New Roman" w:hAnsi="Times New Roman"/>
          <w:sz w:val="20"/>
          <w:u w:val="single"/>
        </w:rPr>
        <w:t>Opinions of Indivior’s Financial Advisors</w:t>
      </w:r>
      <w:r>
        <w:rPr>
          <w:rFonts w:ascii="Times New Roman" w:hAnsi="Times New Roman"/>
          <w:sz w:val="20"/>
        </w:rPr>
        <w:t xml:space="preserve">. The Indivior Board has received separate opinions from Jefferies LLC and Piper Sandler &amp; Co. to the effect that, as of the date of such opinion and based upon and subject to the various matters, assumptions, qualifications and limitations set forth in their respective opinions, the Exchange Ratio provided for in the Merger is fair, from a financial point of view, to Indivior. </w:t>
      </w:r>
    </w:p>
    <w:p>
      <w:pPr>
        <w:pStyle w:val="TextBody"/>
        <w:bidi w:val="0"/>
        <w:spacing w:before="240" w:after="0"/>
        <w:jc w:val="left"/>
        <w:rPr>
          <w:rFonts w:ascii="Times New Roman" w:hAnsi="Times New Roman"/>
          <w:sz w:val="20"/>
        </w:rPr>
      </w:pPr>
      <w:r>
        <w:rPr>
          <w:rFonts w:ascii="Times New Roman" w:hAnsi="Times New Roman"/>
          <w:sz w:val="20"/>
        </w:rPr>
        <w:t xml:space="preserve">4.30 </w:t>
      </w:r>
      <w:r>
        <w:rPr>
          <w:rFonts w:ascii="Times New Roman" w:hAnsi="Times New Roman"/>
          <w:sz w:val="20"/>
          <w:u w:val="single"/>
        </w:rPr>
        <w:t>Merger Sub</w:t>
      </w:r>
      <w:r>
        <w:rPr>
          <w:rFonts w:ascii="Times New Roman" w:hAnsi="Times New Roman"/>
          <w:sz w:val="20"/>
        </w:rPr>
        <w:t xml:space="preserve">.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Indivior has delivered to Supernus true, correct and complete copies of (i) an executed commitment letter, dated as of the date hereof, from the lenders (the “</w:t>
      </w:r>
      <w:r>
        <w:rPr>
          <w:rFonts w:ascii="Times New Roman" w:hAnsi="Times New Roman"/>
          <w:b/>
          <w:sz w:val="20"/>
        </w:rPr>
        <w:t>Lenders</w:t>
      </w:r>
      <w:r>
        <w:rPr>
          <w:rFonts w:ascii="Times New Roman" w:hAnsi="Times New Roman"/>
          <w:sz w:val="20"/>
        </w:rPr>
        <w:t>”) party thereto (such commitment letter, including all exhibits, schedules, annexes, joinders and amendments thereto, together with the below-defined Fee Letter, collectively, the “</w:t>
      </w:r>
      <w:r>
        <w:rPr>
          <w:rFonts w:ascii="Times New Roman" w:hAnsi="Times New Roman"/>
          <w:b/>
          <w:sz w:val="20"/>
        </w:rPr>
        <w:t>Commitment Letter</w:t>
      </w:r>
      <w:r>
        <w:rPr>
          <w:rFonts w:ascii="Times New Roman" w:hAnsi="Times New Roman"/>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 w:hAnsi="Times New Roman"/>
          <w:b/>
          <w:sz w:val="20"/>
        </w:rPr>
        <w:t>Committed Financing</w:t>
      </w:r>
      <w:r>
        <w:rPr>
          <w:rFonts w:ascii="Times New Roman" w:hAnsi="Times New Roman"/>
          <w:sz w:val="20"/>
        </w:rPr>
        <w:t>”), and (ii) any fee letters, dated as of the date hereof, associated with the Commitment Letter (including all exhibits, schedules, annexes, joinders and amendments thereto, collectively, the “</w:t>
      </w:r>
      <w:r>
        <w:rPr>
          <w:rFonts w:ascii="Times New Roman" w:hAnsi="Times New Roman"/>
          <w:b/>
          <w:sz w:val="20"/>
        </w:rPr>
        <w:t>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 w:hAnsi="Times New Roman"/>
          <w:sz w:val="20"/>
          <w:u w:val="single"/>
        </w:rPr>
        <w:t>Section 6.17</w:t>
      </w:r>
      <w:r>
        <w:rPr>
          <w:rFonts w:ascii="Times New Roman" w:hAnsi="Times New Roman"/>
          <w:sz w:val="20"/>
        </w:rPr>
        <w:t xml:space="preserve">.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assuming the satisfaction of conditions to the Merger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RELATING TO CONDUCT OF BUSINESS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Covenants of Supernus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w:t>
      </w:r>
      <w:r>
        <w:rPr>
          <w:rFonts w:ascii="Times New Roman" w:hAnsi="Times New Roman"/>
          <w:sz w:val="20"/>
          <w:u w:val="single"/>
        </w:rPr>
        <w:t xml:space="preserve"> ARTICLE VIII</w:t>
      </w:r>
      <w:r>
        <w:rPr>
          <w:rFonts w:ascii="Times New Roman" w:hAnsi="Times New Roman"/>
          <w:sz w:val="20"/>
        </w:rPr>
        <w:t xml:space="preserve"> (the “</w:t>
      </w:r>
      <w:r>
        <w:rPr>
          <w:rFonts w:ascii="Times New Roman" w:hAnsi="Times New Roman"/>
          <w:b/>
          <w:sz w:val="20"/>
        </w:rPr>
        <w:t>Pre-Closing Period</w:t>
      </w:r>
      <w:r>
        <w:rPr>
          <w:rFonts w:ascii="Times New Roman" w:hAnsi="Times New Roman"/>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5.1(b)</w:t>
      </w:r>
      <w:r>
        <w:rPr>
          <w:rFonts w:ascii="Times New Roman" w:hAnsi="Times New Roman"/>
          <w:sz w:val="20"/>
        </w:rPr>
        <w:t xml:space="preserve">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other distributions in respect of any of its capital stock or shares or directly or indirectly redeem, repurchase or otherwise acquire any shares of its capital stock or any Supernus Options, Supernus RSUs, Supernus PSUs or Supernus ESPP Purchase Rights with respect thereto except,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for the withholding of Supernus Shares to satisfy the exercise price or Tax obligations with respect to awards granted pursuant to the Supernus Equity Plans; </w:t>
      </w:r>
    </w:p>
    <w:p>
      <w:pPr>
        <w:pStyle w:val="TextBody"/>
        <w:bidi w:val="0"/>
        <w:spacing w:before="240" w:after="0"/>
        <w:jc w:val="left"/>
        <w:rPr>
          <w:rFonts w:ascii="Times New Roman" w:hAnsi="Times New Roman"/>
          <w:sz w:val="20"/>
        </w:rPr>
      </w:pPr>
      <w:r>
        <w:rPr>
          <w:rFonts w:ascii="Times New Roman" w:hAnsi="Times New Roman"/>
          <w:sz w:val="20"/>
        </w:rPr>
        <w:t xml:space="preserve">(B) for the declaration and payment of dividends by a direct or indirect wholly-owned Subsidiary of Supernus solely to its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connection with intercompany purchases of capital stock or share capital among one or more of Supernus and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(D) for the purpose of fulfilling its obligations under the Supernus ESPP, to the extent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 w:hAnsi="Times New Roman"/>
          <w:sz w:val="20"/>
          <w:u w:val="single"/>
        </w:rPr>
        <w:t>provided</w:t>
      </w:r>
      <w:r>
        <w:rPr>
          <w:rFonts w:ascii="Times New Roman" w:hAnsi="Times New Roman"/>
          <w:sz w:val="20"/>
        </w:rPr>
        <w:t xml:space="preserve">,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amend, or propose to amend, or permit the adoption of any material amendment to any of the Organizational Documents of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 effect a recapitalization, reclassification of shares, stock split, reverse stock split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(vi) adopt a plan of complete or partial liquidation, dissolution, consolidation, restructuring or recapitalization of Supernus or any of its “significant subsidiaries,” as defined in Rule 1-02(w)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(vii) make any capital expenditure except for (A) expenditures required by existing Contracts or (B) expenditures made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(xiii) change any of its financial or Tax accounting methods or practices in any respect, except as required by GAAP or Law; </w:t>
      </w:r>
    </w:p>
    <w:p>
      <w:pPr>
        <w:pStyle w:val="TextBody"/>
        <w:bidi w:val="0"/>
        <w:spacing w:before="240" w:after="0"/>
        <w:jc w:val="left"/>
        <w:rPr>
          <w:rFonts w:ascii="Times New Roman" w:hAnsi="Times New Roman"/>
          <w:sz w:val="20"/>
        </w:rPr>
      </w:pPr>
      <w:r>
        <w:rPr>
          <w:rFonts w:ascii="Times New Roman" w:hAnsi="Times New Roman"/>
          <w:sz w:val="20"/>
        </w:rPr>
        <w:t xml:space="preserve">(xiv)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before="240" w:after="0"/>
        <w:jc w:val="left"/>
        <w:rPr>
          <w:rFonts w:ascii="Times New Roman" w:hAnsi="Times New Roman"/>
          <w:sz w:val="20"/>
        </w:rPr>
      </w:pPr>
      <w:r>
        <w:rPr>
          <w:rFonts w:ascii="Times New Roman" w:hAnsi="Times New Roman"/>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before="240" w:after="0"/>
        <w:jc w:val="left"/>
        <w:rPr>
          <w:rFonts w:ascii="Times New Roman" w:hAnsi="Times New Roman"/>
          <w:sz w:val="20"/>
        </w:rPr>
      </w:pPr>
      <w:r>
        <w:rPr>
          <w:rFonts w:ascii="Times New Roman" w:hAnsi="Times New Roman"/>
          <w:sz w:val="20"/>
        </w:rPr>
        <w:t xml:space="preserve">(xvii)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agree or commit to take any of the actions described in clauses (i) through (xvii)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Covenants of Indivior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for the withholding of Indivior Shares to satisfy the exercise price or Tax obligations with respect to awards granted pursuant to the Indivior Equity Plans; </w:t>
      </w:r>
    </w:p>
    <w:p>
      <w:pPr>
        <w:pStyle w:val="TextBody"/>
        <w:bidi w:val="0"/>
        <w:spacing w:before="240" w:after="0"/>
        <w:jc w:val="left"/>
        <w:rPr>
          <w:rFonts w:ascii="Times New Roman" w:hAnsi="Times New Roman"/>
          <w:sz w:val="20"/>
        </w:rPr>
      </w:pPr>
      <w:r>
        <w:rPr>
          <w:rFonts w:ascii="Times New Roman" w:hAnsi="Times New Roman"/>
          <w:sz w:val="20"/>
        </w:rPr>
        <w:t xml:space="preserve">(B) for the declaration and payment of dividends by a direct or indirect wholly-owned Subsidiary of Indivior solely to its parent;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intercompany purchases of capital stock or share capital among one or more of Indivior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for the purpose of fulfilling its obligations under the Indivior ESPP or the Indivior UK Option Plans, to the extent consistent with past practice; or </w:t>
      </w:r>
    </w:p>
    <w:p>
      <w:pPr>
        <w:pStyle w:val="TextBody"/>
        <w:bidi w:val="0"/>
        <w:spacing w:before="240" w:after="0"/>
        <w:jc w:val="left"/>
        <w:rPr>
          <w:rFonts w:ascii="Times New Roman" w:hAnsi="Times New Roman"/>
          <w:sz w:val="20"/>
        </w:rPr>
      </w:pPr>
      <w:r>
        <w:rPr>
          <w:rFonts w:ascii="Times New Roman" w:hAnsi="Times New Roman"/>
          <w:sz w:val="20"/>
        </w:rPr>
        <w:t xml:space="preserve">(E) the Special Dividend (or Alternative Dividend, as applicable)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(iv) amend, or propose to amend, or permit the adoption of any material amendment to any of the Organizational Documents of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 effect a recapitalization, reclassification of shares, stock split, reverse stock split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(vi) adopt a plan of complete or partial liquidation, dissolution, consolidation, restructuring or recapitalization of Indivior or any of its “significant subsidiaries,” as defined in Rule 1-02(w) of Regulation S-X;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make any capital expenditure except for (A) expenditures required by existing Contracts or (B) expenditures made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change any of its financial or Tax accounting methods or practices in any respect, except as required by GAAP or Law; </w:t>
      </w:r>
    </w:p>
    <w:p>
      <w:pPr>
        <w:pStyle w:val="TextBody"/>
        <w:bidi w:val="0"/>
        <w:spacing w:before="240" w:after="0"/>
        <w:jc w:val="left"/>
        <w:rPr>
          <w:rFonts w:ascii="Times New Roman" w:hAnsi="Times New Roman"/>
          <w:sz w:val="20"/>
        </w:rPr>
      </w:pPr>
      <w:r>
        <w:rPr>
          <w:rFonts w:ascii="Times New Roman" w:hAnsi="Times New Roman"/>
          <w:sz w:val="20"/>
        </w:rPr>
        <w:t xml:space="preserve">(xiv)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before="240" w:after="0"/>
        <w:jc w:val="left"/>
        <w:rPr>
          <w:rFonts w:ascii="Times New Roman" w:hAnsi="Times New Roman"/>
          <w:sz w:val="20"/>
        </w:rPr>
      </w:pPr>
      <w:r>
        <w:rPr>
          <w:rFonts w:ascii="Times New Roman" w:hAnsi="Times New Roman"/>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before="240" w:after="0"/>
        <w:jc w:val="left"/>
        <w:rPr>
          <w:rFonts w:ascii="Times New Roman" w:hAnsi="Times New Roman"/>
          <w:sz w:val="20"/>
        </w:rPr>
      </w:pPr>
      <w:r>
        <w:rPr>
          <w:rFonts w:ascii="Times New Roman" w:hAnsi="Times New Roman"/>
          <w:sz w:val="20"/>
        </w:rPr>
        <w:t xml:space="preserve">(xvii)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 </w:t>
      </w:r>
    </w:p>
    <w:p>
      <w:pPr>
        <w:pStyle w:val="TextBody"/>
        <w:bidi w:val="0"/>
        <w:spacing w:before="240" w:after="0"/>
        <w:jc w:val="left"/>
        <w:rPr>
          <w:rFonts w:ascii="Times New Roman" w:hAnsi="Times New Roman"/>
          <w:sz w:val="20"/>
        </w:rPr>
      </w:pPr>
      <w:r>
        <w:rPr>
          <w:rFonts w:ascii="Times New Roman" w:hAnsi="Times New Roman"/>
          <w:sz w:val="20"/>
        </w:rPr>
        <w:t xml:space="preserve">(xviii) agree or commit to take any of the actions described in clauses (i) through (xvii) of this </w:t>
      </w:r>
      <w:r>
        <w:rPr>
          <w:rFonts w:ascii="Times New Roman" w:hAnsi="Times New Roman"/>
          <w:sz w:val="20"/>
          <w:u w:val="single"/>
        </w:rPr>
        <w:t>Section 5.2(b)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Independent Operation; No Control Prior to Closing</w:t>
      </w:r>
      <w:r>
        <w:rPr>
          <w:rFonts w:ascii="Times New Roman" w:hAnsi="Times New Roman"/>
          <w:sz w:val="20"/>
        </w:rPr>
        <w:t xml:space="preserve">. Notwithstanding anything to the contrary in this </w:t>
      </w:r>
      <w:r>
        <w:rPr>
          <w:rFonts w:ascii="Times New Roman" w:hAnsi="Times New Roman"/>
          <w:sz w:val="20"/>
          <w:u w:val="single"/>
        </w:rPr>
        <w:t>Article V</w:t>
      </w:r>
      <w:r>
        <w:rPr>
          <w:rFonts w:ascii="Times New Roman" w:hAnsi="Times New Roman"/>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COVENANTS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 w:hAnsi="Times New Roman"/>
          <w:sz w:val="20"/>
          <w:u w:val="single"/>
        </w:rPr>
        <w:t>Section 6.1</w:t>
      </w:r>
      <w:r>
        <w:rPr>
          <w:rFonts w:ascii="Times New Roman" w:hAnsi="Times New Roman"/>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 w:hAnsi="Times New Roman"/>
          <w:sz w:val="20"/>
          <w:u w:val="single"/>
        </w:rPr>
        <w:t>Section 6.1</w:t>
      </w:r>
      <w:r>
        <w:rPr>
          <w:rFonts w:ascii="Times New Roman" w:hAnsi="Times New Roman"/>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 w:hAnsi="Times New Roman"/>
          <w:sz w:val="20"/>
          <w:u w:val="single"/>
        </w:rPr>
        <w:t>Section 6.1</w:t>
      </w:r>
      <w:r>
        <w:rPr>
          <w:rFonts w:ascii="Times New Roman" w:hAnsi="Times New Roman"/>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hereby agree that all information provided to them or their respective Representatives in connection with this Agreement and the consummation of the transactions contemplated by this Agreement shall be deemed to be Confidential Information, as such term is used in, 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Registration Statement and Proxy Statement for Stockholder Approval</w:t>
      </w:r>
      <w:r>
        <w:rPr>
          <w:rFonts w:ascii="Times New Roman" w:hAnsi="Times New Roman"/>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 w:hAnsi="Times New Roman"/>
          <w:b/>
          <w:sz w:val="20"/>
        </w:rPr>
        <w:t>Joint Proxy Statement</w:t>
      </w:r>
      <w:r>
        <w:rPr>
          <w:rFonts w:ascii="Times New Roman" w:hAnsi="Times New Roman"/>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 w:hAnsi="Times New Roman"/>
          <w:b/>
          <w:sz w:val="20"/>
        </w:rPr>
        <w:t>Registration Statement</w:t>
      </w:r>
      <w:r>
        <w:rPr>
          <w:rFonts w:ascii="Times New Roman" w:hAnsi="Times New Roman"/>
          <w:sz w:val="20"/>
        </w:rPr>
        <w:t xml:space="preserve">”). Each of Indivior and Supernus shall use its reasonable best efforts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Stockholders’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 w:hAnsi="Times New Roman"/>
          <w:b/>
          <w:sz w:val="20"/>
        </w:rPr>
        <w:t>Supernus Stockholders</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Subject to </w:t>
      </w:r>
      <w:r>
        <w:rPr>
          <w:rFonts w:ascii="Times New Roman" w:hAnsi="Times New Roman"/>
          <w:sz w:val="20"/>
          <w:u w:val="single"/>
        </w:rPr>
        <w:t>Sections 6.4(b)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6.4(c)</w:t>
      </w:r>
      <w:r>
        <w:rPr>
          <w:rFonts w:ascii="Times New Roman" w:hAnsi="Times New Roman"/>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 w:hAnsi="Times New Roman"/>
          <w:sz w:val="20"/>
          <w:u w:val="single"/>
        </w:rPr>
        <w:t>Sections 6.4(b)</w:t>
      </w:r>
      <w:r>
        <w:rPr>
          <w:rFonts w:ascii="Times New Roman" w:hAnsi="Times New Roman"/>
          <w:sz w:val="20"/>
        </w:rPr>
        <w:t xml:space="preserve"> and </w:t>
      </w:r>
      <w:r>
        <w:rPr>
          <w:rFonts w:ascii="Times New Roman" w:hAnsi="Times New Roman"/>
          <w:sz w:val="20"/>
          <w:u w:val="single"/>
        </w:rPr>
        <w:t>6.4(c)</w:t>
      </w:r>
      <w:r>
        <w:rPr>
          <w:rFonts w:ascii="Times New Roman" w:hAnsi="Times New Roman"/>
          <w:sz w:val="20"/>
        </w:rPr>
        <w:t xml:space="preserve"> and the remainder of this </w:t>
      </w:r>
      <w:r>
        <w:rPr>
          <w:rFonts w:ascii="Times New Roman" w:hAnsi="Times New Roman"/>
          <w:sz w:val="20"/>
          <w:u w:val="single"/>
        </w:rPr>
        <w:t>Section 6.3(a)</w:t>
      </w:r>
      <w:r>
        <w:rPr>
          <w:rFonts w:ascii="Times New Roman" w:hAnsi="Times New Roman"/>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 w:hAnsi="Times New Roman"/>
          <w:sz w:val="20"/>
          <w:u w:val="single"/>
        </w:rPr>
        <w:t>Sections 6.4(b)</w:t>
      </w:r>
      <w:r>
        <w:rPr>
          <w:rFonts w:ascii="Times New Roman" w:hAnsi="Times New Roman"/>
          <w:sz w:val="20"/>
        </w:rPr>
        <w:t xml:space="preserve"> and </w:t>
      </w:r>
      <w:r>
        <w:rPr>
          <w:rFonts w:ascii="Times New Roman" w:hAnsi="Times New Roman"/>
          <w:sz w:val="20"/>
          <w:u w:val="single"/>
        </w:rPr>
        <w:t>6.4(c)</w:t>
      </w:r>
      <w:r>
        <w:rPr>
          <w:rFonts w:ascii="Times New Roman" w:hAnsi="Times New Roman"/>
          <w:sz w:val="20"/>
        </w:rPr>
        <w:t xml:space="preserve">,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before="240" w:after="0"/>
        <w:jc w:val="left"/>
        <w:rPr>
          <w:rFonts w:ascii="Times New Roman" w:hAnsi="Times New Roman"/>
          <w:sz w:val="20"/>
        </w:rPr>
      </w:pPr>
      <w:r>
        <w:rPr>
          <w:rFonts w:ascii="Times New Roman" w:hAnsi="Times New Roman"/>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 w:hAnsi="Times New Roman"/>
          <w:b/>
          <w:sz w:val="20"/>
        </w:rPr>
        <w:t>Indivior Stockholders</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Subject to </w:t>
      </w:r>
      <w:r>
        <w:rPr>
          <w:rFonts w:ascii="Times New Roman" w:hAnsi="Times New Roman"/>
          <w:sz w:val="20"/>
          <w:u w:val="single"/>
        </w:rPr>
        <w:t>Sections 6.4(e)</w:t>
      </w:r>
      <w:r>
        <w:rPr>
          <w:rFonts w:ascii="Times New Roman" w:hAnsi="Times New Roman"/>
          <w:sz w:val="20"/>
        </w:rPr>
        <w:t xml:space="preserve"> and </w:t>
      </w:r>
      <w:r>
        <w:rPr>
          <w:rFonts w:ascii="Times New Roman" w:hAnsi="Times New Roman"/>
          <w:sz w:val="20"/>
          <w:u w:val="single"/>
        </w:rPr>
        <w:t>6.4(f)</w:t>
      </w:r>
      <w:r>
        <w:rPr>
          <w:rFonts w:ascii="Times New Roman" w:hAnsi="Times New Roman"/>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 w:hAnsi="Times New Roman"/>
          <w:sz w:val="20"/>
          <w:u w:val="single"/>
        </w:rPr>
        <w:t>Sections 6.4(e)</w:t>
      </w:r>
      <w:r>
        <w:rPr>
          <w:rFonts w:ascii="Times New Roman" w:hAnsi="Times New Roman"/>
          <w:sz w:val="20"/>
        </w:rPr>
        <w:t xml:space="preserve"> and </w:t>
      </w:r>
      <w:r>
        <w:rPr>
          <w:rFonts w:ascii="Times New Roman" w:hAnsi="Times New Roman"/>
          <w:sz w:val="20"/>
          <w:u w:val="single"/>
        </w:rPr>
        <w:t>6.4(f)</w:t>
      </w:r>
      <w:r>
        <w:rPr>
          <w:rFonts w:ascii="Times New Roman" w:hAnsi="Times New Roman"/>
          <w:sz w:val="20"/>
        </w:rPr>
        <w:t xml:space="preserve"> and the remainder of this </w:t>
      </w:r>
      <w:r>
        <w:rPr>
          <w:rFonts w:ascii="Times New Roman" w:hAnsi="Times New Roman"/>
          <w:sz w:val="20"/>
          <w:u w:val="single"/>
        </w:rPr>
        <w:t>Section 6.3(b)</w:t>
      </w:r>
      <w:r>
        <w:rPr>
          <w:rFonts w:ascii="Times New Roman" w:hAnsi="Times New Roman"/>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Meeting to be less than ten (10) Business Days prior to the Termination Date. Subject to </w:t>
      </w:r>
      <w:r>
        <w:rPr>
          <w:rFonts w:ascii="Times New Roman" w:hAnsi="Times New Roman"/>
          <w:sz w:val="20"/>
          <w:u w:val="single"/>
        </w:rPr>
        <w:t>Sections 6.4(e)</w:t>
      </w:r>
      <w:r>
        <w:rPr>
          <w:rFonts w:ascii="Times New Roman" w:hAnsi="Times New Roman"/>
          <w:sz w:val="20"/>
        </w:rPr>
        <w:t xml:space="preserve"> and </w:t>
      </w:r>
      <w:r>
        <w:rPr>
          <w:rFonts w:ascii="Times New Roman" w:hAnsi="Times New Roman"/>
          <w:sz w:val="20"/>
          <w:u w:val="single"/>
        </w:rPr>
        <w:t>6.4(f)</w:t>
      </w:r>
      <w:r>
        <w:rPr>
          <w:rFonts w:ascii="Times New Roman" w:hAnsi="Times New Roman"/>
          <w:sz w:val="20"/>
        </w:rPr>
        <w:t xml:space="preserve">,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proxies have been received by Indivior with respect to the Indivior Stockholder Approval and the number of such proxies authorizing the holder thereof to vote in favor of the Indivior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Supernus and Indivior shall use their reasonable best efforts to hold the Supernus Stockholders’ Meeting and the Indivior Stockholders’ Meeting on the same date and as soon as practicable after the date of this Agreement (but after the Registration Statement is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Non-Solicitation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 w:hAnsi="Times New Roman"/>
          <w:sz w:val="20"/>
          <w:u w:val="single"/>
        </w:rPr>
        <w:t>Section 6.4</w:t>
      </w:r>
      <w:r>
        <w:rPr>
          <w:rFonts w:ascii="Times New Roman" w:hAnsi="Times New Roman"/>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 w:hAnsi="Times New Roman"/>
          <w:sz w:val="20"/>
          <w:u w:val="single"/>
        </w:rPr>
        <w:t>Section 6.4(a)</w:t>
      </w:r>
      <w:r>
        <w:rPr>
          <w:rFonts w:ascii="Times New Roman" w:hAnsi="Times New Roman"/>
          <w:sz w:val="20"/>
        </w:rPr>
        <w:t xml:space="preserve"> with respect to a third party if (A) Supernus receives an unsolicited, </w:t>
      </w:r>
      <w:r>
        <w:rPr>
          <w:rFonts w:ascii="Times New Roman" w:hAnsi="Times New Roman"/>
          <w:i/>
          <w:sz w:val="20"/>
        </w:rPr>
        <w:t>bona fide</w:t>
      </w:r>
      <w:r>
        <w:rPr>
          <w:rFonts w:ascii="Times New Roman" w:hAnsi="Times New Roman"/>
          <w:sz w:val="20"/>
        </w:rPr>
        <w:t xml:space="preserve"> written Acquisition Proposal with respect to Supernus from such third party (and such Acquisition Proposal was not initiated, sought, solicited, knowingly encouraged or facilitated in violation of this </w:t>
      </w:r>
      <w:r>
        <w:rPr>
          <w:rFonts w:ascii="Times New Roman" w:hAnsi="Times New Roman"/>
          <w:sz w:val="20"/>
          <w:u w:val="single"/>
        </w:rPr>
        <w:t>Section 6.4</w:t>
      </w:r>
      <w:r>
        <w:rPr>
          <w:rFonts w:ascii="Times New Roman" w:hAnsi="Times New Roman"/>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 w:hAnsi="Times New Roman"/>
          <w:sz w:val="20"/>
          <w:u w:val="single"/>
        </w:rPr>
        <w:t>provided</w:t>
      </w:r>
      <w:r>
        <w:rPr>
          <w:rFonts w:ascii="Times New Roman" w:hAnsi="Times New Roman"/>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 w:hAnsi="Times New Roman"/>
          <w:b/>
          <w:sz w:val="20"/>
        </w:rPr>
        <w:t>Acceptable Confidentiality Agreement</w:t>
      </w:r>
      <w:r>
        <w:rPr>
          <w:rFonts w:ascii="Times New Roman" w:hAnsi="Times New Roman"/>
          <w:sz w:val="20"/>
        </w:rPr>
        <w:t xml:space="preserve">”) and so long as it sends a copy of such Acceptable Confidentiality Agreement to Indivior promptly following its execution. Nothing contained in this </w:t>
      </w:r>
      <w:r>
        <w:rPr>
          <w:rFonts w:ascii="Times New Roman" w:hAnsi="Times New Roman"/>
          <w:sz w:val="20"/>
          <w:u w:val="single"/>
        </w:rPr>
        <w:t>Section 6.4</w:t>
      </w:r>
      <w:r>
        <w:rPr>
          <w:rFonts w:ascii="Times New Roman" w:hAnsi="Times New Roman"/>
          <w:sz w:val="20"/>
        </w:rPr>
        <w:t xml:space="preserve"> shall prohibit Supernus or the Supernus Board from (1) taking and disclosing to the Supernus Stockholders a position with respect to an Acquisition Proposal with respect to Supernus 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 w:hAnsi="Times New Roman"/>
          <w:sz w:val="20"/>
          <w:u w:val="single"/>
        </w:rPr>
        <w:t>Section 6.4</w:t>
      </w:r>
      <w:r>
        <w:rPr>
          <w:rFonts w:ascii="Times New Roman" w:hAnsi="Times New Roman"/>
          <w:sz w:val="20"/>
        </w:rPr>
        <w:t xml:space="preserve">, provided that this sentence shall not permit the Supernus Board to make a Supernus Adverse Recommendation Change, except to the extent permitted by </w:t>
      </w:r>
      <w:r>
        <w:rPr>
          <w:rFonts w:ascii="Times New Roman" w:hAnsi="Times New Roman"/>
          <w:sz w:val="20"/>
          <w:u w:val="single"/>
        </w:rPr>
        <w:t>Section 6.4(b)</w:t>
      </w:r>
      <w:r>
        <w:rPr>
          <w:rFonts w:ascii="Times New Roman" w:hAnsi="Times New Roman"/>
          <w:sz w:val="20"/>
        </w:rPr>
        <w:t xml:space="preserve"> or </w:t>
      </w:r>
      <w:r>
        <w:rPr>
          <w:rFonts w:ascii="Times New Roman" w:hAnsi="Times New Roman"/>
          <w:sz w:val="20"/>
          <w:u w:val="single"/>
        </w:rPr>
        <w:t>Section 6.4(c)</w:t>
      </w:r>
      <w:r>
        <w:rPr>
          <w:rFonts w:ascii="Times New Roman" w:hAnsi="Times New Roman"/>
          <w:sz w:val="20"/>
        </w:rPr>
        <w:t xml:space="preserve">. Without limiting the foregoing, it is understood that any violation of the restrictions contained in this </w:t>
      </w:r>
      <w:r>
        <w:rPr>
          <w:rFonts w:ascii="Times New Roman" w:hAnsi="Times New Roman"/>
          <w:sz w:val="20"/>
          <w:u w:val="single"/>
        </w:rPr>
        <w:t>Section 6.4(a)</w:t>
      </w:r>
      <w:r>
        <w:rPr>
          <w:rFonts w:ascii="Times New Roman" w:hAnsi="Times New Roman"/>
          <w:sz w:val="20"/>
        </w:rPr>
        <w:t xml:space="preserve"> by any of Supernus’ or its Subsidiaries’ respective Representatives shall be deemed to be a breach of this </w:t>
      </w:r>
      <w:r>
        <w:rPr>
          <w:rFonts w:ascii="Times New Roman" w:hAnsi="Times New Roman"/>
          <w:sz w:val="20"/>
          <w:u w:val="single"/>
        </w:rPr>
        <w:t>Section 6.4(a)</w:t>
      </w:r>
      <w:r>
        <w:rPr>
          <w:rFonts w:ascii="Times New Roman" w:hAnsi="Times New Roman"/>
          <w:sz w:val="20"/>
        </w:rPr>
        <w:t xml:space="preserve"> by Supernus.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sentence being referred to as a “</w:t>
      </w:r>
      <w:r>
        <w:rPr>
          <w:rFonts w:ascii="Times New Roman" w:hAnsi="Times New Roman"/>
          <w:b/>
          <w:sz w:val="20"/>
        </w:rPr>
        <w:t>Supernus Adverse Recommendation Change</w:t>
      </w:r>
      <w:r>
        <w:rPr>
          <w:rFonts w:ascii="Times New Roman" w:hAnsi="Times New Roman"/>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in response to an unsolicited Superior Proposal with respect to Supernus that has not been withdrawn and did not result from a breach of </w:t>
      </w:r>
      <w:r>
        <w:rPr>
          <w:rFonts w:ascii="Times New Roman" w:hAnsi="Times New Roman"/>
          <w:sz w:val="20"/>
          <w:u w:val="single"/>
        </w:rPr>
        <w:t>Section 6.4(a)</w:t>
      </w:r>
      <w:r>
        <w:rPr>
          <w:rFonts w:ascii="Times New Roman" w:hAnsi="Times New Roman"/>
          <w:sz w:val="20"/>
        </w:rPr>
        <w:t xml:space="preserve">, the Supernus Board may make a Supernus Adverse Recommendation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first sentence of </w:t>
      </w:r>
      <w:r>
        <w:rPr>
          <w:rFonts w:ascii="Times New Roman" w:hAnsi="Times New Roman"/>
          <w:sz w:val="20"/>
          <w:u w:val="single"/>
        </w:rPr>
        <w:t>Section 6.4(b)</w:t>
      </w:r>
      <w:r>
        <w:rPr>
          <w:rFonts w:ascii="Times New Roman" w:hAnsi="Times New Roman"/>
          <w:sz w:val="20"/>
        </w:rPr>
        <w:t>,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Change are independent of and unrelated to any pending Acquisition Proposal with respect to Supernus and (iii) provides written notice to Indivior (a “</w:t>
      </w:r>
      <w:r>
        <w:rPr>
          <w:rFonts w:ascii="Times New Roman" w:hAnsi="Times New Roman"/>
          <w:b/>
          <w:sz w:val="20"/>
        </w:rPr>
        <w:t>Supernus Notice of Change</w:t>
      </w:r>
      <w:r>
        <w:rPr>
          <w:rFonts w:ascii="Times New Roman" w:hAnsi="Times New Roman"/>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 w:hAnsi="Times New Roman"/>
          <w:sz w:val="20"/>
          <w:u w:val="single"/>
        </w:rPr>
        <w:t>Section 6.4</w:t>
      </w:r>
      <w:r>
        <w:rPr>
          <w:rFonts w:ascii="Times New Roman" w:hAnsi="Times New Roman"/>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 w:hAnsi="Times New Roman"/>
          <w:sz w:val="20"/>
          <w:u w:val="single"/>
        </w:rPr>
        <w:t>Section 6.4(d)</w:t>
      </w:r>
      <w:r>
        <w:rPr>
          <w:rFonts w:ascii="Times New Roman" w:hAnsi="Times New Roman"/>
          <w:sz w:val="20"/>
        </w:rPr>
        <w:t xml:space="preserve"> with respect to a third party if (A) Indivior receives an unsolicited, </w:t>
      </w:r>
      <w:r>
        <w:rPr>
          <w:rFonts w:ascii="Times New Roman" w:hAnsi="Times New Roman"/>
          <w:i/>
          <w:sz w:val="20"/>
        </w:rPr>
        <w:t>bona fide</w:t>
      </w:r>
      <w:r>
        <w:rPr>
          <w:rFonts w:ascii="Times New Roman" w:hAnsi="Times New Roman"/>
          <w:sz w:val="20"/>
        </w:rPr>
        <w:t xml:space="preserve"> written Acquisition Proposal with respect to Indivior from such third party (and such Acquisition Proposal was not initiated, sought, solicited, knowingly encouraged or facilitated in violation of this </w:t>
      </w:r>
      <w:r>
        <w:rPr>
          <w:rFonts w:ascii="Times New Roman" w:hAnsi="Times New Roman"/>
          <w:sz w:val="20"/>
          <w:u w:val="single"/>
        </w:rPr>
        <w:t>Section 6.4</w:t>
      </w:r>
      <w:r>
        <w:rPr>
          <w:rFonts w:ascii="Times New Roman" w:hAnsi="Times New Roman"/>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 w:hAnsi="Times New Roman"/>
          <w:sz w:val="20"/>
          <w:u w:val="single"/>
        </w:rPr>
        <w:t>Section 6.4</w:t>
      </w:r>
      <w:r>
        <w:rPr>
          <w:rFonts w:ascii="Times New Roman" w:hAnsi="Times New Roman"/>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(2) directing any Person (or the Representatives of that Person) who makes an Acquisition Proposal regarding Indivior to the provisions of this </w:t>
      </w:r>
      <w:r>
        <w:rPr>
          <w:rFonts w:ascii="Times New Roman" w:hAnsi="Times New Roman"/>
          <w:sz w:val="20"/>
          <w:u w:val="single"/>
        </w:rPr>
        <w:t>Section 6.4</w:t>
      </w:r>
      <w:r>
        <w:rPr>
          <w:rFonts w:ascii="Times New Roman" w:hAnsi="Times New Roman"/>
          <w:sz w:val="20"/>
        </w:rPr>
        <w:t xml:space="preserve">, provided that this sentence shall not permit the Indivior Board to make an Indivior Adverse Recommendation Change, except to the extent permitted by </w:t>
      </w:r>
      <w:r>
        <w:rPr>
          <w:rFonts w:ascii="Times New Roman" w:hAnsi="Times New Roman"/>
          <w:sz w:val="20"/>
          <w:u w:val="single"/>
        </w:rPr>
        <w:t>Section 6.4(e)</w:t>
      </w:r>
      <w:r>
        <w:rPr>
          <w:rFonts w:ascii="Times New Roman" w:hAnsi="Times New Roman"/>
          <w:sz w:val="20"/>
        </w:rPr>
        <w:t xml:space="preserve"> or </w:t>
      </w:r>
      <w:r>
        <w:rPr>
          <w:rFonts w:ascii="Times New Roman" w:hAnsi="Times New Roman"/>
          <w:sz w:val="20"/>
          <w:u w:val="single"/>
        </w:rPr>
        <w:t>Section 6.4(f)</w:t>
      </w:r>
      <w:r>
        <w:rPr>
          <w:rFonts w:ascii="Times New Roman" w:hAnsi="Times New Roman"/>
          <w:sz w:val="20"/>
        </w:rPr>
        <w:t xml:space="preserve">. Without limiting the foregoing, it is understood that any violation of the restrictions contained in this </w:t>
      </w:r>
      <w:r>
        <w:rPr>
          <w:rFonts w:ascii="Times New Roman" w:hAnsi="Times New Roman"/>
          <w:sz w:val="20"/>
          <w:u w:val="single"/>
        </w:rPr>
        <w:t>Section 6.4(d)</w:t>
      </w:r>
      <w:r>
        <w:rPr>
          <w:rFonts w:ascii="Times New Roman" w:hAnsi="Times New Roman"/>
          <w:sz w:val="20"/>
        </w:rPr>
        <w:t xml:space="preserve"> by any of Indivior’s or its Subsidiaries’ respective Representatives shall be deemed to be a breach of this </w:t>
      </w:r>
      <w:r>
        <w:rPr>
          <w:rFonts w:ascii="Times New Roman" w:hAnsi="Times New Roman"/>
          <w:sz w:val="20"/>
          <w:u w:val="single"/>
        </w:rPr>
        <w:t>Section 6.4(d)</w:t>
      </w:r>
      <w:r>
        <w:rPr>
          <w:rFonts w:ascii="Times New Roman" w:hAnsi="Times New Roman"/>
          <w:sz w:val="20"/>
        </w:rPr>
        <w:t xml:space="preserve"> by Indivior. </w:t>
      </w:r>
    </w:p>
    <w:p>
      <w:pPr>
        <w:pStyle w:val="TextBody"/>
        <w:bidi w:val="0"/>
        <w:spacing w:before="240" w:after="0"/>
        <w:jc w:val="left"/>
        <w:rPr>
          <w:rFonts w:ascii="Times New Roman" w:hAnsi="Times New Roman"/>
          <w:sz w:val="20"/>
        </w:rPr>
      </w:pPr>
      <w:r>
        <w:rPr>
          <w:rFonts w:ascii="Times New Roman" w:hAnsi="Times New Roman"/>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 w:hAnsi="Times New Roman"/>
          <w:b/>
          <w:sz w:val="20"/>
        </w:rPr>
        <w:t>Indivior Adverse Recommendation Change</w:t>
      </w:r>
      <w:r>
        <w:rPr>
          <w:rFonts w:ascii="Times New Roman" w:hAnsi="Times New Roman"/>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in response to an unsolicited Superior Proposal with respect to Indivior that has not been withdrawn and did not result from a breach of </w:t>
      </w:r>
      <w:r>
        <w:rPr>
          <w:rFonts w:ascii="Times New Roman" w:hAnsi="Times New Roman"/>
          <w:sz w:val="20"/>
          <w:u w:val="single"/>
        </w:rPr>
        <w:t>Section 6.4(d)</w:t>
      </w:r>
      <w:r>
        <w:rPr>
          <w:rFonts w:ascii="Times New Roman" w:hAnsi="Times New Roman"/>
          <w:sz w:val="20"/>
        </w:rPr>
        <w:t xml:space="preserve">, the Indivior Board may make an Indivior Adverse Recommendation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the first sentence of </w:t>
      </w:r>
      <w:r>
        <w:rPr>
          <w:rFonts w:ascii="Times New Roman" w:hAnsi="Times New Roman"/>
          <w:sz w:val="20"/>
          <w:u w:val="single"/>
        </w:rPr>
        <w:t>Section 6.4(e)</w:t>
      </w:r>
      <w:r>
        <w:rPr>
          <w:rFonts w:ascii="Times New Roman" w:hAnsi="Times New Roman"/>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 w:hAnsi="Times New Roman"/>
          <w:b/>
          <w:sz w:val="20"/>
        </w:rPr>
        <w:t>Indivior Notice of Change</w:t>
      </w:r>
      <w:r>
        <w:rPr>
          <w:rFonts w:ascii="Times New Roman" w:hAnsi="Times New Roman"/>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respect to any changes or modifications to this Agreement which would allow the Indivior Board not to make such Indivior Adverse Recommendation Change, consistent with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agree that in addition to the other obligations of Supernus and Indivior set forth in paragraphs (a) through (f) of this </w:t>
      </w:r>
      <w:r>
        <w:rPr>
          <w:rFonts w:ascii="Times New Roman" w:hAnsi="Times New Roman"/>
          <w:sz w:val="20"/>
          <w:u w:val="single"/>
        </w:rPr>
        <w:t>Section 6.4</w:t>
      </w:r>
      <w:r>
        <w:rPr>
          <w:rFonts w:ascii="Times New Roman" w:hAnsi="Times New Roman"/>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 w:hAnsi="Times New Roman"/>
          <w:sz w:val="20"/>
          <w:u w:val="single"/>
        </w:rPr>
        <w:t>Section 6.4</w:t>
      </w:r>
      <w:r>
        <w:rPr>
          <w:rFonts w:ascii="Times New Roman" w:hAnsi="Times New Roman"/>
          <w:sz w:val="20"/>
        </w:rPr>
        <w:t xml:space="preserve">) to make an Acquisition Proposal subject to the terms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Regulatory Approvals; Additional Agreements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(b) Indivior and Supernus each shall promptly (i) supply the other with any information reasonably required in order to effectuate the filing pursuant to the HSR Act described in this </w:t>
      </w:r>
      <w:r>
        <w:rPr>
          <w:rFonts w:ascii="Times New Roman" w:hAnsi="Times New Roman"/>
          <w:sz w:val="20"/>
          <w:u w:val="single"/>
        </w:rPr>
        <w:t>Section 6.5</w:t>
      </w:r>
      <w:r>
        <w:rPr>
          <w:rFonts w:ascii="Times New Roman" w:hAnsi="Times New Roman"/>
          <w:sz w:val="20"/>
        </w:rPr>
        <w:t xml:space="preserve">,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 w:hAnsi="Times New Roman"/>
          <w:sz w:val="20"/>
          <w:u w:val="single"/>
        </w:rPr>
        <w:t>provided</w:t>
      </w:r>
      <w:r>
        <w:rPr>
          <w:rFonts w:ascii="Times New Roman" w:hAnsi="Times New Roman"/>
          <w:sz w:val="20"/>
        </w:rPr>
        <w:t xml:space="preserve">,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 w:hAnsi="Times New Roman"/>
          <w:sz w:val="20"/>
          <w:u w:val="single"/>
        </w:rPr>
        <w:t>Section 7.1(d)</w:t>
      </w:r>
      <w:r>
        <w:rPr>
          <w:rFonts w:ascii="Times New Roman" w:hAnsi="Times New Roman"/>
          <w:sz w:val="20"/>
        </w:rPr>
        <w:t xml:space="preserve"> and </w:t>
      </w:r>
      <w:r>
        <w:rPr>
          <w:rFonts w:ascii="Times New Roman" w:hAnsi="Times New Roman"/>
          <w:sz w:val="20"/>
          <w:u w:val="single"/>
        </w:rPr>
        <w:t>Section 7.1(e)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 w:hAnsi="Times New Roman"/>
          <w:i/>
          <w:sz w:val="20"/>
        </w:rPr>
        <w:t>State of Wisconsin, et al. v. Indivior</w:t>
      </w:r>
      <w:r>
        <w:rPr>
          <w:rFonts w:ascii="Times New Roman" w:hAnsi="Times New Roman"/>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 w:hAnsi="Times New Roman"/>
          <w:sz w:val="20"/>
          <w:u w:val="single"/>
        </w:rPr>
        <w:t>Section 6.5(a)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Employee and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6.6</w:t>
      </w:r>
      <w:r>
        <w:rPr>
          <w:rFonts w:ascii="Times New Roman" w:hAnsi="Times New Roman"/>
          <w:sz w:val="20"/>
        </w:rPr>
        <w:t>, with respect to all (y) individuals who are employees or other services providers of Supernus or its Subsidiaries as of the Effective Time (the “</w:t>
      </w:r>
      <w:r>
        <w:rPr>
          <w:rFonts w:ascii="Times New Roman" w:hAnsi="Times New Roman"/>
          <w:b/>
          <w:sz w:val="20"/>
        </w:rPr>
        <w:t>Supernus Employees</w:t>
      </w:r>
      <w:r>
        <w:rPr>
          <w:rFonts w:ascii="Times New Roman" w:hAnsi="Times New Roman"/>
          <w:sz w:val="20"/>
        </w:rPr>
        <w:t>”), and (z) individuals who are employees or other service providers of Indivior or its Subsidiaries as of the Effective Time (the “</w:t>
      </w:r>
      <w:r>
        <w:rPr>
          <w:rFonts w:ascii="Times New Roman" w:hAnsi="Times New Roman"/>
          <w:b/>
          <w:sz w:val="20"/>
        </w:rPr>
        <w:t>Indivior Employees</w:t>
      </w:r>
      <w:r>
        <w:rPr>
          <w:rFonts w:ascii="Times New Roman" w:hAnsi="Times New Roman"/>
          <w:sz w:val="20"/>
        </w:rPr>
        <w:t>” and, together with Supernus Employees, the “</w:t>
      </w:r>
      <w:r>
        <w:rPr>
          <w:rFonts w:ascii="Times New Roman" w:hAnsi="Times New Roman"/>
          <w:b/>
          <w:sz w:val="20"/>
        </w:rPr>
        <w:t>Employees</w:t>
      </w:r>
      <w:r>
        <w:rPr>
          <w:rFonts w:ascii="Times New Roman" w:hAnsi="Times New Roman"/>
          <w:sz w:val="20"/>
        </w:rPr>
        <w:t xml:space="preserve">”) who, in each case, are located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 </w:t>
      </w:r>
    </w:p>
    <w:p>
      <w:pPr>
        <w:pStyle w:val="TextBody"/>
        <w:bidi w:val="0"/>
        <w:spacing w:before="240" w:after="0"/>
        <w:jc w:val="left"/>
        <w:rPr>
          <w:rFonts w:ascii="Times New Roman" w:hAnsi="Times New Roman"/>
          <w:sz w:val="20"/>
        </w:rPr>
      </w:pPr>
      <w:r>
        <w:rPr>
          <w:rFonts w:ascii="Times New Roman" w:hAnsi="Times New Roman"/>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p>
    <w:p>
      <w:pPr>
        <w:pStyle w:val="TextBody"/>
        <w:bidi w:val="0"/>
        <w:spacing w:before="240" w:after="0"/>
        <w:jc w:val="left"/>
        <w:rPr>
          <w:rFonts w:ascii="Times New Roman" w:hAnsi="Times New Roman"/>
          <w:sz w:val="20"/>
        </w:rPr>
      </w:pPr>
      <w:r>
        <w:rPr>
          <w:rFonts w:ascii="Times New Roman" w:hAnsi="Times New Roman"/>
          <w:sz w:val="20"/>
        </w:rPr>
        <w:t xml:space="preserve">(iii)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before="240" w:after="0"/>
        <w:jc w:val="left"/>
        <w:rPr>
          <w:rFonts w:ascii="Times New Roman" w:hAnsi="Times New Roman"/>
          <w:sz w:val="20"/>
        </w:rPr>
      </w:pPr>
      <w:r>
        <w:rPr>
          <w:rFonts w:ascii="Times New Roman" w:hAnsi="Times New Roman"/>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 w:hAnsi="Times New Roman"/>
          <w:b/>
          <w:sz w:val="20"/>
        </w:rPr>
        <w:t>Qualified Offer</w:t>
      </w:r>
      <w:r>
        <w:rPr>
          <w:rFonts w:ascii="Times New Roman" w:hAnsi="Times New Roman"/>
          <w:sz w:val="20"/>
        </w:rPr>
        <w:t>”). Each contingent offer of continuing employment shall be expressly contingent upon the consummation of the Merger and effective as of the Closing Date. An Indivior Employee shall be considered a “</w:t>
      </w:r>
      <w:r>
        <w:rPr>
          <w:rFonts w:ascii="Times New Roman" w:hAnsi="Times New Roman"/>
          <w:b/>
          <w:sz w:val="20"/>
        </w:rPr>
        <w:t>Contingent Continuing Employee</w:t>
      </w:r>
      <w:r>
        <w:rPr>
          <w:rFonts w:ascii="Times New Roman" w:hAnsi="Times New Roman"/>
          <w:sz w:val="20"/>
        </w:rPr>
        <w:t xml:space="preserve">” for purposes of this </w:t>
      </w:r>
      <w:r>
        <w:rPr>
          <w:rFonts w:ascii="Times New Roman" w:hAnsi="Times New Roman"/>
          <w:sz w:val="20"/>
          <w:u w:val="single"/>
        </w:rPr>
        <w:t>Section 6.6</w:t>
      </w:r>
      <w:r>
        <w:rPr>
          <w:rFonts w:ascii="Times New Roman" w:hAnsi="Times New Roman"/>
          <w:sz w:val="20"/>
        </w:rPr>
        <w:t xml:space="preserve"> if such individual: (1) receives a Qualified Offer of at-will employment, or to continue employment, as applicable, pursuant to this </w:t>
      </w:r>
      <w:r>
        <w:rPr>
          <w:rFonts w:ascii="Times New Roman" w:hAnsi="Times New Roman"/>
          <w:sz w:val="20"/>
          <w:u w:val="single"/>
        </w:rPr>
        <w:t>Section 6.6</w:t>
      </w:r>
      <w:r>
        <w:rPr>
          <w:rFonts w:ascii="Times New Roman" w:hAnsi="Times New Roman"/>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shall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(v) Concurrent with the delivery of offer letters as set forth in </w:t>
      </w:r>
      <w:r>
        <w:rPr>
          <w:rFonts w:ascii="Times New Roman" w:hAnsi="Times New Roman"/>
          <w:sz w:val="20"/>
          <w:u w:val="single"/>
        </w:rPr>
        <w:t>Section 6.6(a)(iv)</w:t>
      </w:r>
      <w:r>
        <w:rPr>
          <w:rFonts w:ascii="Times New Roman" w:hAnsi="Times New Roman"/>
          <w:sz w:val="20"/>
        </w:rPr>
        <w:t>, Supernus will notify any Indivior Employees who will be receiving contingent transitional offers of employment with the Combined Company or one of its Subsidiaries (all such Employees, collectively, the “</w:t>
      </w:r>
      <w:r>
        <w:rPr>
          <w:rFonts w:ascii="Times New Roman" w:hAnsi="Times New Roman"/>
          <w:b/>
          <w:sz w:val="20"/>
        </w:rPr>
        <w:t>Transition Employees</w:t>
      </w:r>
      <w:r>
        <w:rPr>
          <w:rFonts w:ascii="Times New Roman" w:hAnsi="Times New Roman"/>
          <w:sz w:val="20"/>
        </w:rPr>
        <w:t xml:space="preserve">”),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Section 6.6(a)(vi)</w:t>
      </w:r>
      <w:r>
        <w:rPr>
          <w:rFonts w:ascii="Times New Roman" w:hAnsi="Times New Roman"/>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 w:hAnsi="Times New Roman"/>
          <w:sz w:val="20"/>
          <w:u w:val="single"/>
        </w:rPr>
        <w:t>Section 6.6(a)(vi)</w:t>
      </w:r>
      <w:r>
        <w:rPr>
          <w:rFonts w:ascii="Times New Roman" w:hAnsi="Times New Roman"/>
          <w:sz w:val="20"/>
        </w:rPr>
        <w:t xml:space="preserve"> of the Indivior Disclosure Letter. Transition Employees whose employment terminates at the end of their transitional employment will be provided severance benefits in accordance with </w:t>
      </w:r>
      <w:r>
        <w:rPr>
          <w:rFonts w:ascii="Times New Roman" w:hAnsi="Times New Roman"/>
          <w:sz w:val="20"/>
          <w:u w:val="single"/>
        </w:rPr>
        <w:t>Section 6.6(a)(vi)</w:t>
      </w:r>
      <w:r>
        <w:rPr>
          <w:rFonts w:ascii="Times New Roman" w:hAnsi="Times New Roman"/>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 w:hAnsi="Times New Roman"/>
          <w:sz w:val="20"/>
          <w:u w:val="single"/>
        </w:rPr>
        <w:t>Section 6.6(a)</w:t>
      </w:r>
      <w:r>
        <w:rPr>
          <w:rFonts w:ascii="Times New Roman" w:hAnsi="Times New Roman"/>
          <w:sz w:val="20"/>
        </w:rPr>
        <w:t xml:space="preserve">, after the Closing, the Combined Company will determine the terms and conditions of its severance policy and procedures. Receipt of severance pay pursuant to this </w:t>
      </w:r>
      <w:r>
        <w:rPr>
          <w:rFonts w:ascii="Times New Roman" w:hAnsi="Times New Roman"/>
          <w:sz w:val="20"/>
          <w:u w:val="single"/>
        </w:rPr>
        <w:t>Section 6.6(a)(vi)</w:t>
      </w:r>
      <w:r>
        <w:rPr>
          <w:rFonts w:ascii="Times New Roman" w:hAnsi="Times New Roman"/>
          <w:sz w:val="20"/>
        </w:rPr>
        <w:t xml:space="preserve"> shall be conditioned upon the applicable Employee’s execution of a separation agreement, and, to the extent permitted under applicable law and any applicable existing employment agreement or severance plan, such separation agreement may include the post-Closing cooperation obligations described in </w:t>
      </w:r>
      <w:r>
        <w:rPr>
          <w:rFonts w:ascii="Times New Roman" w:hAnsi="Times New Roman"/>
          <w:sz w:val="20"/>
          <w:u w:val="single"/>
        </w:rPr>
        <w:t>Section 6.6(a)(xvii)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 w:hAnsi="Times New Roman"/>
          <w:sz w:val="20"/>
          <w:u w:val="single"/>
        </w:rPr>
        <w:t>Section 6.6(a)(xii)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 w:hAnsi="Times New Roman"/>
          <w:sz w:val="20"/>
          <w:u w:val="single"/>
        </w:rPr>
        <w:t>Section 6.6(a)(xii)</w:t>
      </w:r>
      <w:r>
        <w:rPr>
          <w:rFonts w:ascii="Times New Roman" w:hAnsi="Times New Roman"/>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 w:hAnsi="Times New Roman"/>
          <w:sz w:val="20"/>
          <w:u w:val="single"/>
        </w:rPr>
        <w:t>Section 6.6(a)(ix)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 w:hAnsi="Times New Roman"/>
          <w:sz w:val="20"/>
          <w:u w:val="single"/>
        </w:rPr>
        <w:t>provided</w:t>
      </w:r>
      <w:r>
        <w:rPr>
          <w:rFonts w:ascii="Times New Roman" w:hAnsi="Times New Roman"/>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 </w:t>
      </w:r>
    </w:p>
    <w:p>
      <w:pPr>
        <w:pStyle w:val="TextBody"/>
        <w:bidi w:val="0"/>
        <w:spacing w:before="240" w:after="0"/>
        <w:jc w:val="left"/>
        <w:rPr>
          <w:rFonts w:ascii="Times New Roman" w:hAnsi="Times New Roman"/>
          <w:sz w:val="20"/>
        </w:rPr>
      </w:pPr>
      <w:r>
        <w:rPr>
          <w:rFonts w:ascii="Times New Roman" w:hAnsi="Times New Roman"/>
          <w:sz w:val="20"/>
        </w:rPr>
        <w:t xml:space="preserve">(x)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 w:hAnsi="Times New Roman"/>
          <w:b/>
          <w:sz w:val="20"/>
        </w:rPr>
        <w:t>Indivior 401(k) Plan</w:t>
      </w:r>
      <w:r>
        <w:rPr>
          <w:rFonts w:ascii="Times New Roman" w:hAnsi="Times New Roman"/>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 w:hAnsi="Times New Roman"/>
          <w:b/>
          <w:sz w:val="20"/>
        </w:rPr>
        <w:t>Indivior Deferred Compensation Plans</w:t>
      </w:r>
      <w:r>
        <w:rPr>
          <w:rFonts w:ascii="Times New Roman" w:hAnsi="Times New Roman"/>
          <w:sz w:val="20"/>
        </w:rPr>
        <w:t xml:space="preserve">”),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The provisions of clauses (viii) through (ix) of this </w:t>
      </w:r>
      <w:r>
        <w:rPr>
          <w:rFonts w:ascii="Times New Roman" w:hAnsi="Times New Roman"/>
          <w:sz w:val="20"/>
          <w:u w:val="single"/>
        </w:rPr>
        <w:t>Section 6.6(a)</w:t>
      </w:r>
      <w:r>
        <w:rPr>
          <w:rFonts w:ascii="Times New Roman" w:hAnsi="Times New Roman"/>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6.6(a)(xiv)</w:t>
      </w:r>
      <w:r>
        <w:rPr>
          <w:rFonts w:ascii="Times New Roman" w:hAnsi="Times New Roman"/>
          <w:sz w:val="20"/>
        </w:rPr>
        <w:t xml:space="preserve"> shall limit any obligation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(xv) It is the intent of the parties that awards under the Indivior Equity Plans shall remain outstanding in accordance with the applicable Indivior Equity Plan, subject to the treatment set forth in Section 6.6(a)(xvi) of the Indivior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(xvi) The provisions of this </w:t>
      </w:r>
      <w:r>
        <w:rPr>
          <w:rFonts w:ascii="Times New Roman" w:hAnsi="Times New Roman"/>
          <w:sz w:val="20"/>
          <w:u w:val="single"/>
        </w:rPr>
        <w:t>Section 6.6</w:t>
      </w:r>
      <w:r>
        <w:rPr>
          <w:rFonts w:ascii="Times New Roman" w:hAnsi="Times New Roman"/>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 </w:t>
      </w:r>
    </w:p>
    <w:p>
      <w:pPr>
        <w:pStyle w:val="TextBody"/>
        <w:bidi w:val="0"/>
        <w:spacing w:before="240" w:after="0"/>
        <w:jc w:val="left"/>
        <w:rPr>
          <w:rFonts w:ascii="Times New Roman" w:hAnsi="Times New Roman"/>
          <w:sz w:val="20"/>
        </w:rPr>
      </w:pPr>
      <w:r>
        <w:rPr>
          <w:rFonts w:ascii="Times New Roman" w:hAnsi="Times New Roman"/>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 w:hAnsi="Times New Roman"/>
          <w:sz w:val="20"/>
          <w:u w:val="single"/>
        </w:rPr>
        <w:t>Section 6.6(a)(xvii)</w:t>
      </w:r>
      <w:r>
        <w:rPr>
          <w:rFonts w:ascii="Times New Roman" w:hAnsi="Times New Roman"/>
          <w:sz w:val="20"/>
        </w:rPr>
        <w:t xml:space="preserve"> shall require any Employee to cooperate in a manner that would (1) conflict with such Employee’s legal rights or obligations, including any rights under applicable Law, or (2) waive any applicable privilege (including attorney-client privilege) or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 w:hAnsi="Times New Roman"/>
          <w:b/>
          <w:sz w:val="20"/>
        </w:rPr>
        <w:t>Indivior Non-U.S. Subs</w:t>
      </w:r>
      <w:r>
        <w:rPr>
          <w:rFonts w:ascii="Times New Roman" w:hAnsi="Times New Roman"/>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 w:hAnsi="Times New Roman"/>
          <w:sz w:val="20"/>
          <w:u w:val="single"/>
        </w:rPr>
        <w:t>Section 6.6(a)(i)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 w:hAnsi="Times New Roman"/>
          <w:b/>
          <w:sz w:val="20"/>
        </w:rPr>
        <w:t>Indemnified Parties</w:t>
      </w:r>
      <w:r>
        <w:rPr>
          <w:rFonts w:ascii="Times New Roman" w:hAnsi="Times New Roman"/>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 w:hAnsi="Times New Roman"/>
          <w:sz w:val="20"/>
          <w:u w:val="single"/>
        </w:rPr>
        <w:t>Section 6.7(b)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 w:hAnsi="Times New Roman"/>
          <w:sz w:val="20"/>
          <w:u w:val="single"/>
        </w:rPr>
        <w:t>Section 6.7(c)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covenants contained in this </w:t>
      </w:r>
      <w:r>
        <w:rPr>
          <w:rFonts w:ascii="Times New Roman" w:hAnsi="Times New Roman"/>
          <w:sz w:val="20"/>
          <w:u w:val="single"/>
        </w:rPr>
        <w:t>Section 6.7</w:t>
      </w:r>
      <w:r>
        <w:rPr>
          <w:rFonts w:ascii="Times New Roman" w:hAnsi="Times New Roman"/>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Public Disclosure</w:t>
      </w:r>
      <w:r>
        <w:rPr>
          <w:rFonts w:ascii="Times New Roman" w:hAnsi="Times New Roman"/>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 w:hAnsi="Times New Roman"/>
          <w:sz w:val="20"/>
          <w:u w:val="single"/>
        </w:rPr>
        <w:t>Section 6.8</w:t>
      </w:r>
      <w:r>
        <w:rPr>
          <w:rFonts w:ascii="Times New Roman" w:hAnsi="Times New Roman"/>
          <w:sz w:val="20"/>
        </w:rPr>
        <w:t xml:space="preserve">, (c) any internal announcements to employees regarding the Merger, so long as such statements are consistent with previous press releases, public disclosures or public statements made jointly by the parties (or individually, if approved by the other party), or (d) subject to compliance by the parties in all respects with the terms of </w:t>
      </w:r>
      <w:r>
        <w:rPr>
          <w:rFonts w:ascii="Times New Roman" w:hAnsi="Times New Roman"/>
          <w:sz w:val="20"/>
          <w:u w:val="single"/>
        </w:rPr>
        <w:t>Section 6.4</w:t>
      </w:r>
      <w:r>
        <w:rPr>
          <w:rFonts w:ascii="Times New Roman" w:hAnsi="Times New Roman"/>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 w:hAnsi="Times New Roman"/>
          <w:sz w:val="20"/>
          <w:u w:val="single"/>
        </w:rPr>
        <w:t>Section 6.4</w:t>
      </w:r>
      <w:r>
        <w:rPr>
          <w:rFonts w:ascii="Times New Roman" w:hAnsi="Times New Roman"/>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Nasdaq Listing of Additional Shares</w:t>
      </w:r>
      <w:r>
        <w:rPr>
          <w:rFonts w:ascii="Times New Roman" w:hAnsi="Times New Roman"/>
          <w:sz w:val="20"/>
        </w:rPr>
        <w:t xml:space="preserve">.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Trading Symbol</w:t>
      </w:r>
      <w:r>
        <w:rPr>
          <w:rFonts w:ascii="Times New Roman" w:hAnsi="Times New Roman"/>
          <w:sz w:val="20"/>
        </w:rPr>
        <w:t xml:space="preserve">.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Takeover Laws</w:t>
      </w:r>
      <w:r>
        <w:rPr>
          <w:rFonts w:ascii="Times New Roman" w:hAnsi="Times New Roman"/>
          <w:sz w:val="20"/>
        </w:rPr>
        <w:t xml:space="preserve">.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Section 16</w:t>
      </w:r>
      <w:r>
        <w:rPr>
          <w:rFonts w:ascii="Times New Roman" w:hAnsi="Times New Roman"/>
          <w:sz w:val="20"/>
        </w:rPr>
        <w:t xml:space="preserve">.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Qualifying Company Compliance</w:t>
      </w:r>
      <w:r>
        <w:rPr>
          <w:rFonts w:ascii="Times New Roman" w:hAnsi="Times New Roman"/>
          <w:sz w:val="20"/>
        </w:rPr>
        <w:t xml:space="preserve">. Indivior shall not, and shall cause each of its Subsidiaries not to, take or omit to take any action that could reasonably be expected to cause Indivior UK Limited to not be a “qualifying company” within the meaning of section 357B of the UK Corporation Tax Act 2010.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meaning of Section 368(a) of the Code. The parties shall treat, for U.S. federal income tax purposes, the Merger as a “reorganization” within the meaning of Section 368(a) of the Code and no party shall take any position for Tax purposes inconsistent therewith. </w:t>
      </w:r>
    </w:p>
    <w:p>
      <w:pPr>
        <w:pStyle w:val="TextBody"/>
        <w:bidi w:val="0"/>
        <w:spacing w:before="240" w:after="0"/>
        <w:jc w:val="left"/>
        <w:rPr>
          <w:rFonts w:ascii="Times New Roman" w:hAnsi="Times New Roman"/>
          <w:sz w:val="20"/>
        </w:rPr>
      </w:pPr>
      <w:r>
        <w:rPr>
          <w:rFonts w:ascii="Times New Roman" w:hAnsi="Times New Roman"/>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 w:hAnsi="Times New Roman"/>
          <w:b/>
          <w:sz w:val="20"/>
        </w:rPr>
        <w:t>Indivior Tax Counsel</w:t>
      </w:r>
      <w:r>
        <w:rPr>
          <w:rFonts w:ascii="Times New Roman" w:hAnsi="Times New Roman"/>
          <w:sz w:val="20"/>
        </w:rPr>
        <w:t>”); and (ii) in the case of Supernus, a written opinion, in form and substance reasonably satisfactory to Supernus, of Saul Ewing LLP (or other nationally recognized tax counsel reasonably acceptable to Supernus) (“</w:t>
      </w:r>
      <w:r>
        <w:rPr>
          <w:rFonts w:ascii="Times New Roman" w:hAnsi="Times New Roman"/>
          <w:b/>
          <w:sz w:val="20"/>
        </w:rPr>
        <w:t>Supernus Tax Counsel</w:t>
      </w:r>
      <w:r>
        <w:rPr>
          <w:rFonts w:ascii="Times New Roman" w:hAnsi="Times New Roman"/>
          <w:sz w:val="20"/>
        </w:rPr>
        <w:t>”) (each such opinion referred to in clauses (i) and (ii), a “</w:t>
      </w:r>
      <w:r>
        <w:rPr>
          <w:rFonts w:ascii="Times New Roman" w:hAnsi="Times New Roman"/>
          <w:b/>
          <w:sz w:val="20"/>
        </w:rPr>
        <w:t>Merger Tax Opinion</w:t>
      </w:r>
      <w:r>
        <w:rPr>
          <w:rFonts w:ascii="Times New Roman" w:hAnsi="Times New Roman"/>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 w:hAnsi="Times New Roman"/>
          <w:b/>
          <w:sz w:val="20"/>
        </w:rPr>
        <w:t>Merger Tax Representation Letters</w:t>
      </w:r>
      <w:r>
        <w:rPr>
          <w:rFonts w:ascii="Times New Roman" w:hAnsi="Times New Roman"/>
          <w:sz w:val="20"/>
        </w:rPr>
        <w:t xml:space="preserve">”).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No Control of Other Party’s Business</w:t>
      </w:r>
      <w:r>
        <w:rPr>
          <w:rFonts w:ascii="Times New Roman" w:hAnsi="Times New Roman"/>
          <w:sz w:val="20"/>
        </w:rPr>
        <w:t xml:space="preserve">.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Special Dividend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Special Dividend</w:t>
      </w:r>
      <w:r>
        <w:rPr>
          <w:rFonts w:ascii="Times New Roman" w:hAnsi="Times New Roman"/>
          <w:sz w:val="20"/>
        </w:rPr>
        <w:t xml:space="preserve">. Other than in the Alternative Dividend Scenario: </w:t>
      </w:r>
    </w:p>
    <w:p>
      <w:pPr>
        <w:pStyle w:val="TextBody"/>
        <w:bidi w:val="0"/>
        <w:spacing w:before="120" w:after="0"/>
        <w:jc w:val="left"/>
        <w:rPr>
          <w:rFonts w:ascii="Times New Roman" w:hAnsi="Times New Roman"/>
          <w:sz w:val="20"/>
        </w:rPr>
      </w:pPr>
      <w:r>
        <w:rPr>
          <w:rFonts w:ascii="Times New Roman" w:hAnsi="Times New Roman"/>
          <w:sz w:val="20"/>
        </w:rPr>
        <w:t xml:space="preserve">(i) Subject to applicable Law and the satisfaction or waiver of all of the conditions set forth in </w:t>
      </w:r>
      <w:r>
        <w:rPr>
          <w:rFonts w:ascii="Times New Roman" w:hAnsi="Times New Roman"/>
          <w:sz w:val="20"/>
          <w:u w:val="single"/>
        </w:rPr>
        <w:t>Article VII</w:t>
      </w:r>
      <w:r>
        <w:rPr>
          <w:rFonts w:ascii="Times New Roman" w:hAnsi="Times New Roman"/>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 w:hAnsi="Times New Roman"/>
          <w:b/>
          <w:sz w:val="20"/>
        </w:rPr>
        <w:t>Special Dividend</w:t>
      </w:r>
      <w:r>
        <w:rPr>
          <w:rFonts w:ascii="Times New Roman" w:hAnsi="Times New Roman"/>
          <w:sz w:val="20"/>
        </w:rPr>
        <w:t>”) which Special Dividend shall be payable to (i) holders of record of the issued and outstanding Indivior Shares as of a record date immediately prior to the Effective Time (such holders, the “</w:t>
      </w:r>
      <w:r>
        <w:rPr>
          <w:rFonts w:ascii="Times New Roman" w:hAnsi="Times New Roman"/>
          <w:b/>
          <w:sz w:val="20"/>
        </w:rPr>
        <w:t>Special Dividend Record Holders</w:t>
      </w:r>
      <w:r>
        <w:rPr>
          <w:rFonts w:ascii="Times New Roman" w:hAnsi="Times New Roman"/>
          <w:sz w:val="20"/>
        </w:rPr>
        <w:t>” and such date, the “</w:t>
      </w:r>
      <w:r>
        <w:rPr>
          <w:rFonts w:ascii="Times New Roman" w:hAnsi="Times New Roman"/>
          <w:b/>
          <w:sz w:val="20"/>
        </w:rPr>
        <w:t>Special Dividend Record Date</w:t>
      </w:r>
      <w:r>
        <w:rPr>
          <w:rFonts w:ascii="Times New Roman" w:hAnsi="Times New Roman"/>
          <w:sz w:val="20"/>
        </w:rPr>
        <w:t>”) and (ii) holders of Indivior Equity Awards outstanding as of the Special Dividend Record Date (such holders, the “</w:t>
      </w:r>
      <w:r>
        <w:rPr>
          <w:rFonts w:ascii="Times New Roman" w:hAnsi="Times New Roman"/>
          <w:b/>
          <w:sz w:val="20"/>
        </w:rPr>
        <w:t>Special Dividend Award Holders</w:t>
      </w:r>
      <w:r>
        <w:rPr>
          <w:rFonts w:ascii="Times New Roman" w:hAnsi="Times New Roman"/>
          <w:sz w:val="20"/>
        </w:rPr>
        <w:t xml:space="preserve">”),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w:t>
      </w:r>
    </w:p>
    <w:p>
      <w:pPr>
        <w:pStyle w:val="TextBody"/>
        <w:bidi w:val="0"/>
        <w:spacing w:before="240" w:after="0"/>
        <w:jc w:val="left"/>
        <w:rPr>
          <w:rFonts w:ascii="Times New Roman" w:hAnsi="Times New Roman"/>
          <w:sz w:val="20"/>
        </w:rPr>
      </w:pPr>
      <w:r>
        <w:rPr>
          <w:rFonts w:ascii="Times New Roman" w:hAnsi="Times New Roman"/>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 w:hAnsi="Times New Roman"/>
          <w:sz w:val="20"/>
          <w:u w:val="single"/>
        </w:rPr>
        <w:t>Section 6.16(a)</w:t>
      </w:r>
      <w:r>
        <w:rPr>
          <w:rFonts w:ascii="Times New Roman" w:hAnsi="Times New Roman"/>
          <w:sz w:val="20"/>
        </w:rPr>
        <w:t xml:space="preserve"> with respect to the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 w:hAnsi="Times New Roman"/>
          <w:sz w:val="20"/>
          <w:u w:val="single"/>
        </w:rPr>
        <w:t>Section 6.16(a)</w:t>
      </w:r>
      <w:r>
        <w:rPr>
          <w:rFonts w:ascii="Times New Roman" w:hAnsi="Times New Roman"/>
          <w:sz w:val="20"/>
        </w:rPr>
        <w:t xml:space="preserve">,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Alternative Dividend</w:t>
      </w:r>
      <w:r>
        <w:rPr>
          <w:rFonts w:ascii="Times New Roman" w:hAnsi="Times New Roman"/>
          <w:sz w:val="20"/>
        </w:rPr>
        <w:t xml:space="preserve">. Only in the Alternative Dividend Scenario: </w:t>
      </w:r>
    </w:p>
    <w:p>
      <w:pPr>
        <w:pStyle w:val="TextBody"/>
        <w:bidi w:val="0"/>
        <w:spacing w:before="120" w:after="0"/>
        <w:jc w:val="left"/>
        <w:rPr>
          <w:rFonts w:ascii="Times New Roman" w:hAnsi="Times New Roman"/>
          <w:sz w:val="20"/>
        </w:rPr>
      </w:pPr>
      <w:r>
        <w:rPr>
          <w:rFonts w:ascii="Times New Roman" w:hAnsi="Times New Roman"/>
          <w:sz w:val="20"/>
        </w:rPr>
        <w:t xml:space="preserve">(i) Subject to applicable Law and the satisfaction or waiver of all of the conditions set forth in </w:t>
      </w:r>
      <w:r>
        <w:rPr>
          <w:rFonts w:ascii="Times New Roman" w:hAnsi="Times New Roman"/>
          <w:sz w:val="20"/>
          <w:u w:val="single"/>
        </w:rPr>
        <w:t>Article VII</w:t>
      </w:r>
      <w:r>
        <w:rPr>
          <w:rFonts w:ascii="Times New Roman" w:hAnsi="Times New Roman"/>
          <w:sz w:val="20"/>
        </w:rPr>
        <w:t xml:space="preserve"> (other than conditions that may only be satisfied on the Closing Date), prior to the Effective Time and in connection with the Closing, Indivior shall declare a dividend (the “</w:t>
      </w:r>
      <w:r>
        <w:rPr>
          <w:rFonts w:ascii="Times New Roman" w:hAnsi="Times New Roman"/>
          <w:b/>
          <w:sz w:val="20"/>
        </w:rPr>
        <w:t>Alternative Dividend</w:t>
      </w:r>
      <w:r>
        <w:rPr>
          <w:rFonts w:ascii="Times New Roman" w:hAnsi="Times New Roman"/>
          <w:sz w:val="20"/>
        </w:rPr>
        <w:t>”) consisting of (i) $500,000,000 in the aggregate in cash (the “</w:t>
      </w:r>
      <w:r>
        <w:rPr>
          <w:rFonts w:ascii="Times New Roman" w:hAnsi="Times New Roman"/>
          <w:b/>
          <w:sz w:val="20"/>
        </w:rPr>
        <w:t>Alternative Closing Cash Dividend</w:t>
      </w:r>
      <w:r>
        <w:rPr>
          <w:rFonts w:ascii="Times New Roman" w:hAnsi="Times New Roman"/>
          <w:sz w:val="20"/>
        </w:rPr>
        <w:t>”) and (ii) rights to receive an aggregate of $529,500,000 in cash (each such dividend payment right, an “</w:t>
      </w:r>
      <w:r>
        <w:rPr>
          <w:rFonts w:ascii="Times New Roman" w:hAnsi="Times New Roman"/>
          <w:b/>
          <w:sz w:val="20"/>
        </w:rPr>
        <w:t>Alternative Dividend Right</w:t>
      </w:r>
      <w:r>
        <w:rPr>
          <w:rFonts w:ascii="Times New Roman" w:hAnsi="Times New Roman"/>
          <w:sz w:val="20"/>
        </w:rPr>
        <w:t>”), in accordance with the terms and conditions of the Dividend Payment Rights Agreement in the form attached hereto as</w:t>
      </w:r>
      <w:r>
        <w:rPr>
          <w:rFonts w:ascii="Times New Roman" w:hAnsi="Times New Roman"/>
          <w:sz w:val="20"/>
          <w:u w:val="single"/>
        </w:rPr>
        <w:t> Exhibit C</w:t>
      </w:r>
      <w:r>
        <w:rPr>
          <w:rFonts w:ascii="Times New Roman" w:hAnsi="Times New Roman"/>
          <w:sz w:val="20"/>
        </w:rPr>
        <w:t xml:space="preserve"> (the “</w:t>
      </w:r>
      <w:r>
        <w:rPr>
          <w:rFonts w:ascii="Times New Roman" w:hAnsi="Times New Roman"/>
          <w:b/>
          <w:sz w:val="20"/>
        </w:rPr>
        <w:t>DPR Agreement</w:t>
      </w:r>
      <w:r>
        <w:rPr>
          <w:rFonts w:ascii="Times New Roman" w:hAnsi="Times New Roman"/>
          <w:sz w:val="20"/>
        </w:rPr>
        <w:t>”)</w:t>
      </w:r>
      <w:r>
        <w:rPr>
          <w:rFonts w:ascii="Times New Roman" w:hAnsi="Times New Roman"/>
          <w:sz w:val="20"/>
          <w:u w:val="single"/>
        </w:rPr>
        <w:t>,</w:t>
      </w:r>
      <w:r>
        <w:rPr>
          <w:rFonts w:ascii="Times New Roman" w:hAnsi="Times New Roman"/>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w:t>
      </w:r>
    </w:p>
    <w:p>
      <w:pPr>
        <w:pStyle w:val="TextBody"/>
        <w:bidi w:val="0"/>
        <w:spacing w:before="240" w:after="0"/>
        <w:jc w:val="left"/>
        <w:rPr>
          <w:rFonts w:ascii="Times New Roman" w:hAnsi="Times New Roman"/>
          <w:sz w:val="20"/>
        </w:rPr>
      </w:pPr>
      <w:r>
        <w:rPr>
          <w:rFonts w:ascii="Times New Roman" w:hAnsi="Times New Roman"/>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 w:hAnsi="Times New Roman"/>
          <w:sz w:val="20"/>
          <w:u w:val="single"/>
        </w:rPr>
        <w:t>Section 6.16(b)</w:t>
      </w:r>
      <w:r>
        <w:rPr>
          <w:rFonts w:ascii="Times New Roman" w:hAnsi="Times New Roman"/>
          <w:sz w:val="20"/>
        </w:rPr>
        <w:t xml:space="preserve"> with respect to the Alternative Dividend. </w:t>
      </w:r>
    </w:p>
    <w:p>
      <w:pPr>
        <w:pStyle w:val="TextBody"/>
        <w:bidi w:val="0"/>
        <w:spacing w:before="240" w:after="0"/>
        <w:jc w:val="left"/>
        <w:rPr>
          <w:rFonts w:ascii="Times New Roman" w:hAnsi="Times New Roman"/>
          <w:sz w:val="20"/>
        </w:rPr>
      </w:pPr>
      <w:r>
        <w:rPr>
          <w:rFonts w:ascii="Times New Roman" w:hAnsi="Times New Roman"/>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 w:hAnsi="Times New Roman"/>
          <w:sz w:val="20"/>
          <w:u w:val="single"/>
        </w:rPr>
        <w:t>Section 6.16(b)</w:t>
      </w:r>
      <w:r>
        <w:rPr>
          <w:rFonts w:ascii="Times New Roman" w:hAnsi="Times New Roman"/>
          <w:sz w:val="20"/>
        </w:rPr>
        <w:t xml:space="preserve">,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 </w:t>
      </w:r>
    </w:p>
    <w:p>
      <w:pPr>
        <w:pStyle w:val="TextBody"/>
        <w:bidi w:val="0"/>
        <w:spacing w:before="240" w:after="0"/>
        <w:jc w:val="left"/>
        <w:rPr>
          <w:rFonts w:ascii="Times New Roman" w:hAnsi="Times New Roman"/>
          <w:sz w:val="20"/>
        </w:rPr>
      </w:pPr>
      <w:r>
        <w:rPr>
          <w:rFonts w:ascii="Times New Roman" w:hAnsi="Times New Roman"/>
          <w:sz w:val="20"/>
        </w:rPr>
        <w:t xml:space="preserve">(iv) Immediately following the Effective Time, the Combined Company shall cause the DPR Agreement to be duly authorized, executed and delivered by the Combined Company and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Supernus and its Subsidiaries shall obtain customary payoff letters with respect to the Supernus Existing Loan Documents (the payoff of such facilities, together, the “</w:t>
      </w:r>
      <w:r>
        <w:rPr>
          <w:rFonts w:ascii="Times New Roman" w:hAnsi="Times New Roman"/>
          <w:b/>
          <w:sz w:val="20"/>
        </w:rPr>
        <w:t>Debt Payoff</w:t>
      </w:r>
      <w:r>
        <w:rPr>
          <w:rFonts w:ascii="Times New Roman" w:hAnsi="Times New Roman"/>
          <w:sz w:val="20"/>
        </w:rPr>
        <w:t xml:space="preserve">”) and deliver drafts of 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 w:hAnsi="Times New Roman"/>
          <w:sz w:val="20"/>
          <w:u w:val="single"/>
        </w:rPr>
        <w:t>Section 6.17(f)</w:t>
      </w:r>
      <w:r>
        <w:rPr>
          <w:rFonts w:ascii="Times New Roman" w:hAnsi="Times New Roman"/>
          <w:sz w:val="20"/>
        </w:rPr>
        <w:t>, at the time such Alternative Financing is entered into (the “</w:t>
      </w:r>
      <w:r>
        <w:rPr>
          <w:rFonts w:ascii="Times New Roman" w:hAnsi="Times New Roman"/>
          <w:b/>
          <w:sz w:val="20"/>
        </w:rPr>
        <w:t>Financing Consent Rights</w:t>
      </w:r>
      <w:r>
        <w:rPr>
          <w:rFonts w:ascii="Times New Roman" w:hAnsi="Times New Roman"/>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 w:hAnsi="Times New Roman"/>
          <w:sz w:val="20"/>
          <w:u w:val="single"/>
        </w:rPr>
        <w:t>provided</w:t>
      </w:r>
      <w:r>
        <w:rPr>
          <w:rFonts w:ascii="Times New Roman" w:hAnsi="Times New Roman"/>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Financing Consent Rights, Indivior shall be entitled to negotiate and agree the terms of the Financing on behalf of the parties in accordance with </w:t>
      </w:r>
      <w:r>
        <w:rPr>
          <w:rFonts w:ascii="Times New Roman" w:hAnsi="Times New Roman"/>
          <w:sz w:val="20"/>
          <w:u w:val="single"/>
        </w:rPr>
        <w:t>Section 6.17(b)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 w:hAnsi="Times New Roman"/>
          <w:sz w:val="20"/>
          <w:u w:val="single"/>
        </w:rPr>
        <w:t>provided</w:t>
      </w:r>
      <w:r>
        <w:rPr>
          <w:rFonts w:ascii="Times New Roman" w:hAnsi="Times New Roman"/>
          <w:sz w:val="20"/>
        </w:rPr>
        <w:t xml:space="preserve"> that, for the avoidance of doubt, the Commitment Letter and the Fee Letter are hereby approved by Indivior in all respects with such approval evidenced by Indivior’s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Indivior and Supernus shall share all fees, costs and expenses of the Financing in proportion to the Supernus Fee Allocation Percentage and the Indivior Fee Allocation Percentage; </w:t>
      </w:r>
      <w:r>
        <w:rPr>
          <w:rFonts w:ascii="Times New Roman" w:hAnsi="Times New Roman"/>
          <w:sz w:val="20"/>
          <w:u w:val="single"/>
        </w:rPr>
        <w:t>provided</w:t>
      </w:r>
      <w:r>
        <w:rPr>
          <w:rFonts w:ascii="Times New Roman" w:hAnsi="Times New Roman"/>
          <w:sz w:val="20"/>
        </w:rPr>
        <w:t xml:space="preserve"> that no such fees, costs or expenses shall be incurred, and no fee or engagement letter shall be entered into, without the prior written consent of both parties; </w:t>
      </w:r>
      <w:r>
        <w:rPr>
          <w:rFonts w:ascii="Times New Roman" w:hAnsi="Times New Roman"/>
          <w:sz w:val="20"/>
          <w:u w:val="single"/>
        </w:rPr>
        <w:t>provided</w:t>
      </w:r>
      <w:r>
        <w:rPr>
          <w:rFonts w:ascii="Times New Roman" w:hAnsi="Times New Roman"/>
          <w:sz w:val="20"/>
        </w:rPr>
        <w:t xml:space="preserve">, further that, for the avoidance of doubt, the Fee Letter is hereby approved by each party hereto in all respects with such approval evidenced by each such parties’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 </w:t>
      </w:r>
    </w:p>
    <w:p>
      <w:pPr>
        <w:pStyle w:val="TextBody"/>
        <w:bidi w:val="0"/>
        <w:spacing w:before="240" w:after="0"/>
        <w:jc w:val="left"/>
        <w:rPr>
          <w:rFonts w:ascii="Times New Roman" w:hAnsi="Times New Roman"/>
          <w:sz w:val="20"/>
        </w:rPr>
      </w:pPr>
      <w:r>
        <w:rPr>
          <w:rFonts w:ascii="Times New Roman" w:hAnsi="Times New Roman"/>
          <w:sz w:val="20"/>
        </w:rPr>
        <w:t>(f) If any portion of any Financing becomes unavailable, Indivior shall lead, and the parties shall, use their respective reasonable best efforts to arrange and obtain replacement financing (“</w:t>
      </w:r>
      <w:r>
        <w:rPr>
          <w:rFonts w:ascii="Times New Roman" w:hAnsi="Times New Roman"/>
          <w:b/>
          <w:sz w:val="20"/>
        </w:rPr>
        <w:t>Alternative Financing</w:t>
      </w:r>
      <w:r>
        <w:rPr>
          <w:rFonts w:ascii="Times New Roman" w:hAnsi="Times New Roman"/>
          <w:sz w:val="20"/>
        </w:rPr>
        <w:t xml:space="preserve">”) on the same basis as set forth in this </w:t>
      </w:r>
      <w:r>
        <w:rPr>
          <w:rFonts w:ascii="Times New Roman" w:hAnsi="Times New Roman"/>
          <w:sz w:val="20"/>
          <w:u w:val="single"/>
        </w:rPr>
        <w:t>Section 6.17</w:t>
      </w:r>
      <w:r>
        <w:rPr>
          <w:rFonts w:ascii="Times New Roman" w:hAnsi="Times New Roman"/>
          <w:sz w:val="20"/>
        </w:rPr>
        <w:t xml:space="preserve"> (subject to the Financing Consent Rights), and any such Alternative Financing shall constitute a Financing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 </w:t>
      </w:r>
    </w:p>
    <w:p>
      <w:pPr>
        <w:pStyle w:val="TextBody"/>
        <w:bidi w:val="0"/>
        <w:spacing w:before="240" w:after="0"/>
        <w:jc w:val="left"/>
        <w:rPr>
          <w:rFonts w:ascii="Times New Roman" w:hAnsi="Times New Roman"/>
          <w:sz w:val="20"/>
        </w:rPr>
      </w:pPr>
      <w:r>
        <w:rPr>
          <w:rFonts w:ascii="Times New Roman" w:hAnsi="Times New Roman"/>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 w:hAnsi="Times New Roman"/>
          <w:sz w:val="20"/>
          <w:u w:val="single"/>
        </w:rPr>
        <w:t>Article VIII</w:t>
      </w:r>
      <w:r>
        <w:rPr>
          <w:rFonts w:ascii="Times New Roman" w:hAnsi="Times New Roman"/>
          <w:sz w:val="20"/>
        </w:rPr>
        <w:t xml:space="preserve">,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assist with the preparation of any definitive documentation and the schedules and exhibits thereto contemplated or required by the Financing, and any other customary definitive documents relating to the Financing, including any certificates and schedules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(iv) assist with the preparation of customary pro forma financial statements to the extent reasonably requested by any of the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p>
    <w:p>
      <w:pPr>
        <w:pStyle w:val="TextBody"/>
        <w:bidi w:val="0"/>
        <w:spacing w:before="240" w:after="0"/>
        <w:jc w:val="left"/>
        <w:rPr>
          <w:rFonts w:ascii="Times New Roman" w:hAnsi="Times New Roman"/>
          <w:sz w:val="20"/>
        </w:rPr>
      </w:pPr>
      <w:r>
        <w:rPr>
          <w:rFonts w:ascii="Times New Roman" w:hAnsi="Times New Roman"/>
          <w:sz w:val="20"/>
        </w:rPr>
        <w:t xml:space="preserve">(vi)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 </w:t>
      </w:r>
    </w:p>
    <w:p>
      <w:pPr>
        <w:pStyle w:val="TextBody"/>
        <w:bidi w:val="0"/>
        <w:spacing w:before="240" w:after="0"/>
        <w:jc w:val="left"/>
        <w:rPr>
          <w:rFonts w:ascii="Times New Roman" w:hAnsi="Times New Roman"/>
          <w:sz w:val="20"/>
        </w:rPr>
      </w:pPr>
      <w:r>
        <w:rPr>
          <w:rFonts w:ascii="Times New Roman" w:hAnsi="Times New Roman"/>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 w:hAnsi="Times New Roman"/>
          <w:b/>
          <w:sz w:val="20"/>
        </w:rPr>
        <w:t>Required Financial Information</w:t>
      </w:r>
      <w:r>
        <w:rPr>
          <w:rFonts w:ascii="Times New Roman" w:hAnsi="Times New Roman"/>
          <w:sz w:val="20"/>
        </w:rPr>
        <w:t xml:space="preserve">”),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 </w:t>
      </w:r>
    </w:p>
    <w:p>
      <w:pPr>
        <w:pStyle w:val="TextBody"/>
        <w:bidi w:val="0"/>
        <w:spacing w:before="240" w:after="0"/>
        <w:jc w:val="left"/>
        <w:rPr>
          <w:rFonts w:ascii="Times New Roman" w:hAnsi="Times New Roman"/>
          <w:sz w:val="20"/>
        </w:rPr>
      </w:pPr>
      <w:r>
        <w:rPr>
          <w:rFonts w:ascii="Times New Roman" w:hAnsi="Times New Roman"/>
          <w:sz w:val="20"/>
        </w:rPr>
        <w:t xml:space="preserve">(ix)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p>
    <w:p>
      <w:pPr>
        <w:pStyle w:val="TextBody"/>
        <w:bidi w:val="0"/>
        <w:spacing w:before="240" w:after="0"/>
        <w:jc w:val="left"/>
        <w:rPr>
          <w:rFonts w:ascii="Times New Roman" w:hAnsi="Times New Roman"/>
          <w:sz w:val="20"/>
        </w:rPr>
      </w:pPr>
      <w:r>
        <w:rPr>
          <w:rFonts w:ascii="Times New Roman" w:hAnsi="Times New Roman"/>
          <w:sz w:val="20"/>
        </w:rPr>
        <w:t xml:space="preserve">(x)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(j) Solely in the event that: (i) the Closing has not occurred by the later of (x) the 150th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 w:hAnsi="Times New Roman"/>
          <w:sz w:val="20"/>
          <w:u w:val="single"/>
        </w:rPr>
        <w:t>Section 6.17</w:t>
      </w:r>
      <w:r>
        <w:rPr>
          <w:rFonts w:ascii="Times New Roman" w:hAnsi="Times New Roman"/>
          <w:sz w:val="20"/>
        </w:rPr>
        <w:t xml:space="preserve">; (iii) despite the Parties’ compliance with the provisions of this </w:t>
      </w:r>
      <w:r>
        <w:rPr>
          <w:rFonts w:ascii="Times New Roman" w:hAnsi="Times New Roman"/>
          <w:sz w:val="20"/>
          <w:u w:val="single"/>
        </w:rPr>
        <w:t>Section 6.17</w:t>
      </w:r>
      <w:r>
        <w:rPr>
          <w:rFonts w:ascii="Times New Roman" w:hAnsi="Times New Roman"/>
          <w:sz w:val="20"/>
        </w:rPr>
        <w:t xml:space="preserve"> the Financing is unavailable and no Alternative Financing is available; and (iv)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 w:hAnsi="Times New Roman"/>
          <w:b/>
          <w:sz w:val="20"/>
        </w:rPr>
        <w:t>Alternative Dividend Scenario</w:t>
      </w:r>
      <w:r>
        <w:rPr>
          <w:rFonts w:ascii="Times New Roman" w:hAnsi="Times New Roman"/>
          <w:sz w:val="20"/>
        </w:rPr>
        <w:t xml:space="preserve">”),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Certain 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 w:hAnsi="Times New Roman"/>
          <w:sz w:val="20"/>
          <w:u w:val="single"/>
        </w:rPr>
        <w:t>Section 6.18(b)</w:t>
      </w:r>
      <w:r>
        <w:rPr>
          <w:rFonts w:ascii="Times New Roman" w:hAnsi="Times New Roman"/>
          <w:sz w:val="20"/>
        </w:rPr>
        <w:t xml:space="preserve">, shall not constitute a breach by Indivior of this </w:t>
      </w:r>
      <w:r>
        <w:rPr>
          <w:rFonts w:ascii="Times New Roman" w:hAnsi="Times New Roman"/>
          <w:sz w:val="20"/>
          <w:u w:val="single"/>
        </w:rPr>
        <w:t>Section 6.18(b)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Transaction Litigation</w:t>
      </w:r>
      <w:r>
        <w:rPr>
          <w:rFonts w:ascii="Times New Roman" w:hAnsi="Times New Roman"/>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 w:hAnsi="Times New Roman"/>
          <w:sz w:val="20"/>
          <w:u w:val="single"/>
        </w:rPr>
        <w:t>Section 6.19</w:t>
      </w:r>
      <w:r>
        <w:rPr>
          <w:rFonts w:ascii="Times New Roman" w:hAnsi="Times New Roman"/>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 w:hAnsi="Times New Roman"/>
          <w:sz w:val="20"/>
          <w:u w:val="single"/>
        </w:rPr>
        <w:t>Section 6.19</w:t>
      </w:r>
      <w:r>
        <w:rPr>
          <w:rFonts w:ascii="Times New Roman" w:hAnsi="Times New Roman"/>
          <w:sz w:val="20"/>
        </w:rPr>
        <w:t xml:space="preserve">, (a) in the event of any conflict with any other covenant or agreement contained in </w:t>
      </w:r>
      <w:r>
        <w:rPr>
          <w:rFonts w:ascii="Times New Roman" w:hAnsi="Times New Roman"/>
          <w:sz w:val="20"/>
          <w:u w:val="single"/>
        </w:rPr>
        <w:t>Section 6.5</w:t>
      </w:r>
      <w:r>
        <w:rPr>
          <w:rFonts w:ascii="Times New Roman" w:hAnsi="Times New Roman"/>
          <w:sz w:val="20"/>
        </w:rPr>
        <w:t xml:space="preserve"> that expressly addresses the subject matter of this </w:t>
      </w:r>
      <w:r>
        <w:rPr>
          <w:rFonts w:ascii="Times New Roman" w:hAnsi="Times New Roman"/>
          <w:sz w:val="20"/>
          <w:u w:val="single"/>
        </w:rPr>
        <w:t>Section 6.19</w:t>
      </w:r>
      <w:r>
        <w:rPr>
          <w:rFonts w:ascii="Times New Roman" w:hAnsi="Times New Roman"/>
          <w:sz w:val="20"/>
        </w:rPr>
        <w:t xml:space="preserve">, </w:t>
      </w:r>
      <w:r>
        <w:rPr>
          <w:rFonts w:ascii="Times New Roman" w:hAnsi="Times New Roman"/>
          <w:sz w:val="20"/>
          <w:u w:val="single"/>
        </w:rPr>
        <w:t>Section 6.5</w:t>
      </w:r>
      <w:r>
        <w:rPr>
          <w:rFonts w:ascii="Times New Roman" w:hAnsi="Times New Roman"/>
          <w:sz w:val="20"/>
        </w:rPr>
        <w:t xml:space="preserve"> shall govern and control, and (b) this </w:t>
      </w:r>
      <w:r>
        <w:rPr>
          <w:rFonts w:ascii="Times New Roman" w:hAnsi="Times New Roman"/>
          <w:sz w:val="20"/>
          <w:u w:val="single"/>
        </w:rPr>
        <w:t>Section 6.19</w:t>
      </w:r>
      <w:r>
        <w:rPr>
          <w:rFonts w:ascii="Times New Roman" w:hAnsi="Times New Roman"/>
          <w:sz w:val="20"/>
        </w:rPr>
        <w:t xml:space="preserve"> shall be in addition to and not limit or otherwise modify the Parties’ respective obligations under </w:t>
      </w:r>
      <w:r>
        <w:rPr>
          <w:rFonts w:ascii="Times New Roman" w:hAnsi="Times New Roman"/>
          <w:sz w:val="20"/>
          <w:u w:val="single"/>
        </w:rPr>
        <w:t>Section 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Resignation of Indivior Directors and Officers</w:t>
      </w:r>
      <w:r>
        <w:rPr>
          <w:rFonts w:ascii="Times New Roman" w:hAnsi="Times New Roman"/>
          <w:sz w:val="20"/>
        </w:rPr>
        <w:t xml:space="preserve">.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6.21 </w:t>
      </w:r>
      <w:r>
        <w:rPr>
          <w:rFonts w:ascii="Times New Roman" w:hAnsi="Times New Roman"/>
          <w:sz w:val="20"/>
          <w:u w:val="single"/>
        </w:rPr>
        <w:t>FTC Order Compliance</w:t>
      </w:r>
      <w:r>
        <w:rPr>
          <w:rFonts w:ascii="Times New Roman" w:hAnsi="Times New Roman"/>
          <w:sz w:val="20"/>
        </w:rPr>
        <w:t xml:space="preserve">. From the date of this Agreement until the earlier of the Effective Time and the valid termination of this Agreement in accordance with </w:t>
      </w:r>
      <w:r>
        <w:rPr>
          <w:rFonts w:ascii="Times New Roman" w:hAnsi="Times New Roman"/>
          <w:sz w:val="20"/>
          <w:u w:val="single"/>
        </w:rPr>
        <w:t>Article VIII</w:t>
      </w:r>
      <w:r>
        <w:rPr>
          <w:rFonts w:ascii="Times New Roman" w:hAnsi="Times New Roman"/>
          <w:sz w:val="20"/>
        </w:rPr>
        <w:t xml:space="preserve">,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All Parties’ Obligations</w:t>
      </w:r>
      <w:r>
        <w:rPr>
          <w:rFonts w:ascii="Times New Roman" w:hAnsi="Times New Roman"/>
          <w:sz w:val="20"/>
        </w:rPr>
        <w:t xml:space="preserve">. The obligations of Indivior and Supernus to consummate the transactions contemplated by this Agreement are subject to the satisfaction (or waiver by Indivior and Supernus),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Indivior Stockholder Approval shall have been attained; </w:t>
      </w:r>
    </w:p>
    <w:p>
      <w:pPr>
        <w:pStyle w:val="TextBody"/>
        <w:bidi w:val="0"/>
        <w:spacing w:before="240" w:after="0"/>
        <w:jc w:val="left"/>
        <w:rPr>
          <w:rFonts w:ascii="Times New Roman" w:hAnsi="Times New Roman"/>
          <w:sz w:val="20"/>
        </w:rPr>
      </w:pPr>
      <w:r>
        <w:rPr>
          <w:rFonts w:ascii="Times New Roman" w:hAnsi="Times New Roman"/>
          <w:sz w:val="20"/>
        </w:rPr>
        <w:t xml:space="preserve">(b) the Supernus Stockholder Approval shall have been attained; </w:t>
      </w:r>
    </w:p>
    <w:p>
      <w:pPr>
        <w:pStyle w:val="TextBody"/>
        <w:bidi w:val="0"/>
        <w:spacing w:before="240" w:after="0"/>
        <w:jc w:val="left"/>
        <w:rPr>
          <w:rFonts w:ascii="Times New Roman" w:hAnsi="Times New Roman"/>
          <w:sz w:val="20"/>
        </w:rPr>
      </w:pPr>
      <w:r>
        <w:rPr>
          <w:rFonts w:ascii="Times New Roman" w:hAnsi="Times New Roman"/>
          <w:sz w:val="20"/>
        </w:rPr>
        <w:t xml:space="preserve">(c) the Registration Statement shall have become effective under the Securities Act and shall remain in effect, and shall not be the subject of any stop order or any Action by the SEC seeking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any waiting period (and any extension thereof) applicable to the transactions contemplated by this Agreement under the HSR Act shall have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Indivior Shares issuable in connection with the Merger shall have been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Conditions to Indivior’s and Merger Sub’s Obligations</w:t>
      </w:r>
      <w:r>
        <w:rPr>
          <w:rFonts w:ascii="Times New Roman" w:hAnsi="Times New Roman"/>
          <w:sz w:val="20"/>
        </w:rPr>
        <w:t xml:space="preserve">. The obligations of Indivior and Merger Sub to consummate the transactions contemplated by this Agreement are subject to the satisfaction (or waiver by Indivior),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(i) the representations and warranties contained in </w:t>
      </w:r>
      <w:r>
        <w:rPr>
          <w:rFonts w:ascii="Times New Roman" w:hAnsi="Times New Roman"/>
          <w:sz w:val="20"/>
          <w:u w:val="single"/>
        </w:rPr>
        <w:t>Section 3.1(a)</w:t>
      </w:r>
      <w:r>
        <w:rPr>
          <w:rFonts w:ascii="Times New Roman" w:hAnsi="Times New Roman"/>
          <w:sz w:val="20"/>
        </w:rPr>
        <w:t xml:space="preserve"> (</w:t>
      </w:r>
      <w:r>
        <w:rPr>
          <w:rFonts w:ascii="Times New Roman" w:hAnsi="Times New Roman"/>
          <w:i/>
          <w:sz w:val="20"/>
        </w:rPr>
        <w:t>Organization and Corporate Power</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i/>
          <w:sz w:val="20"/>
        </w:rPr>
        <w:t>Authorization; Valid and Binding Agreement</w:t>
      </w:r>
      <w:r>
        <w:rPr>
          <w:rFonts w:ascii="Times New Roman" w:hAnsi="Times New Roman"/>
          <w:sz w:val="20"/>
        </w:rPr>
        <w:t>),</w:t>
      </w:r>
      <w:r>
        <w:rPr>
          <w:rFonts w:ascii="Times New Roman" w:hAnsi="Times New Roman"/>
          <w:sz w:val="20"/>
          <w:u w:val="single"/>
        </w:rPr>
        <w:t xml:space="preserve"> Section 3.3</w:t>
      </w:r>
      <w:r>
        <w:rPr>
          <w:rFonts w:ascii="Times New Roman" w:hAnsi="Times New Roman"/>
          <w:sz w:val="20"/>
        </w:rPr>
        <w:t xml:space="preserve"> (solely with respect to the first two sentences of clause (c)) (</w:t>
      </w:r>
      <w:r>
        <w:rPr>
          <w:rFonts w:ascii="Times New Roman" w:hAnsi="Times New Roman"/>
          <w:i/>
          <w:sz w:val="20"/>
        </w:rPr>
        <w:t>Capital Stock</w:t>
      </w:r>
      <w:r>
        <w:rPr>
          <w:rFonts w:ascii="Times New Roman" w:hAnsi="Times New Roman"/>
          <w:sz w:val="20"/>
        </w:rPr>
        <w:t xml:space="preserve">) </w:t>
      </w:r>
      <w:r>
        <w:rPr>
          <w:rFonts w:ascii="Times New Roman" w:hAnsi="Times New Roman"/>
          <w:sz w:val="20"/>
          <w:u w:val="single"/>
        </w:rPr>
        <w:t>Section 3.5</w:t>
      </w:r>
      <w:r>
        <w:rPr>
          <w:rFonts w:ascii="Times New Roman" w:hAnsi="Times New Roman"/>
          <w:sz w:val="20"/>
        </w:rPr>
        <w:t xml:space="preserve"> (solely with respect to clause (a)) (</w:t>
      </w:r>
      <w:r>
        <w:rPr>
          <w:rFonts w:ascii="Times New Roman" w:hAnsi="Times New Roman"/>
          <w:i/>
          <w:sz w:val="20"/>
        </w:rPr>
        <w:t>No Breach</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w:t>
      </w:r>
      <w:r>
        <w:rPr>
          <w:rFonts w:ascii="Times New Roman" w:hAnsi="Times New Roman"/>
          <w:i/>
          <w:sz w:val="20"/>
        </w:rPr>
        <w:t>Brokerage</w:t>
      </w:r>
      <w:r>
        <w:rPr>
          <w:rFonts w:ascii="Times New Roman" w:hAnsi="Times New Roman"/>
          <w:sz w:val="20"/>
        </w:rPr>
        <w:t xml:space="preserve">) and </w:t>
      </w:r>
      <w:r>
        <w:rPr>
          <w:rFonts w:ascii="Times New Roman" w:hAnsi="Times New Roman"/>
          <w:sz w:val="20"/>
          <w:u w:val="single"/>
        </w:rPr>
        <w:t>Section 3.26</w:t>
      </w:r>
      <w:r>
        <w:rPr>
          <w:rFonts w:ascii="Times New Roman" w:hAnsi="Times New Roman"/>
          <w:sz w:val="20"/>
        </w:rPr>
        <w:t xml:space="preserve"> (</w:t>
      </w:r>
      <w:r>
        <w:rPr>
          <w:rFonts w:ascii="Times New Roman" w:hAnsi="Times New Roman"/>
          <w:i/>
          <w:sz w:val="20"/>
        </w:rPr>
        <w:t>Board Approval; Vote Required</w:t>
      </w:r>
      <w:r>
        <w:rPr>
          <w:rFonts w:ascii="Times New Roman" w:hAnsi="Times New Roman"/>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 w:hAnsi="Times New Roman"/>
          <w:sz w:val="20"/>
          <w:u w:val="single"/>
        </w:rPr>
        <w:t>Section 3.3</w:t>
      </w:r>
      <w:r>
        <w:rPr>
          <w:rFonts w:ascii="Times New Roman" w:hAnsi="Times New Roman"/>
          <w:sz w:val="20"/>
        </w:rPr>
        <w:t xml:space="preserve"> (solely with respect to clauses (a), (b) and the last sentence of (c)) (</w:t>
      </w:r>
      <w:r>
        <w:rPr>
          <w:rFonts w:ascii="Times New Roman" w:hAnsi="Times New Roman"/>
          <w:i/>
          <w:sz w:val="20"/>
        </w:rPr>
        <w:t>Capital Stock</w:t>
      </w:r>
      <w:r>
        <w:rPr>
          <w:rFonts w:ascii="Times New Roman" w:hAnsi="Times New Roman"/>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 w:hAnsi="Times New Roman"/>
          <w:i/>
          <w:sz w:val="20"/>
        </w:rPr>
        <w:t>de minimis</w:t>
      </w:r>
      <w:r>
        <w:rPr>
          <w:rFonts w:ascii="Times New Roman" w:hAnsi="Times New Roman"/>
          <w:sz w:val="20"/>
        </w:rPr>
        <w:t xml:space="preserve"> in nature, (iii) the representations and warranties contained in </w:t>
      </w:r>
      <w:r>
        <w:rPr>
          <w:rFonts w:ascii="Times New Roman" w:hAnsi="Times New Roman"/>
          <w:sz w:val="20"/>
          <w:u w:val="single"/>
        </w:rPr>
        <w:t>Section 3.9(a)</w:t>
      </w:r>
      <w:r>
        <w:rPr>
          <w:rFonts w:ascii="Times New Roman" w:hAnsi="Times New Roman"/>
          <w:sz w:val="20"/>
        </w:rPr>
        <w:t xml:space="preserve"> (</w:t>
      </w:r>
      <w:r>
        <w:rPr>
          <w:rFonts w:ascii="Times New Roman" w:hAnsi="Times New Roman"/>
          <w:i/>
          <w:sz w:val="20"/>
        </w:rPr>
        <w:t>Absence of Certain Developments</w:t>
      </w:r>
      <w:r>
        <w:rPr>
          <w:rFonts w:ascii="Times New Roman" w:hAnsi="Times New Roman"/>
          <w:sz w:val="20"/>
        </w:rPr>
        <w:t xml:space="preserve">) shall be true and correct in all respects as of the Closing Date as though made on the Closing Date and (iv) the representations and warranties contained in </w:t>
      </w:r>
      <w:r>
        <w:rPr>
          <w:rFonts w:ascii="Times New Roman" w:hAnsi="Times New Roman"/>
          <w:sz w:val="20"/>
          <w:u w:val="single"/>
        </w:rPr>
        <w:t>ARTICLE III</w:t>
      </w:r>
      <w:r>
        <w:rPr>
          <w:rFonts w:ascii="Times New Roman" w:hAnsi="Times New Roman"/>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Supernus shall have performed in all material respects all of the covenants and agreements under this Agreement that are required to be performed by it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since the date of this Agreement, there shall not have been or occurred any Supernus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(d) Supernus shall have delivered to Indivior a certificate of Supernus executed by a duly authorized officer thereof, dated as of the Closing Date, stating that the conditions in </w:t>
      </w:r>
      <w:r>
        <w:rPr>
          <w:rFonts w:ascii="Times New Roman" w:hAnsi="Times New Roman"/>
          <w:sz w:val="20"/>
          <w:u w:val="single"/>
        </w:rPr>
        <w:t>Sections 7.2(a)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Conditions to Supernus’ Obligations</w:t>
      </w:r>
      <w:r>
        <w:rPr>
          <w:rFonts w:ascii="Times New Roman" w:hAnsi="Times New Roman"/>
          <w:sz w:val="20"/>
        </w:rPr>
        <w:t xml:space="preserve">. The obligations of Supernus to consummate the transactions contemplated by this Agreement are subject to the satisfaction (or waiver by Supernus),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(i) the representations and warranties contained in </w:t>
      </w:r>
      <w:r>
        <w:rPr>
          <w:rFonts w:ascii="Times New Roman" w:hAnsi="Times New Roman"/>
          <w:sz w:val="20"/>
          <w:u w:val="single"/>
        </w:rPr>
        <w:t xml:space="preserve">Section 4.1(a) </w:t>
      </w:r>
      <w:r>
        <w:rPr>
          <w:rFonts w:ascii="Times New Roman" w:hAnsi="Times New Roman"/>
          <w:sz w:val="20"/>
        </w:rPr>
        <w:t>(</w:t>
      </w:r>
      <w:r>
        <w:rPr>
          <w:rFonts w:ascii="Times New Roman" w:hAnsi="Times New Roman"/>
          <w:i/>
          <w:sz w:val="20"/>
        </w:rPr>
        <w:t>Organization and Corporate Power</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i/>
          <w:sz w:val="20"/>
        </w:rPr>
        <w:t>Authorization; Valid and Binding Agreement</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(solely with respect to the first two sentences of clause (c)) (</w:t>
      </w:r>
      <w:r>
        <w:rPr>
          <w:rFonts w:ascii="Times New Roman" w:hAnsi="Times New Roman"/>
          <w:i/>
          <w:sz w:val="20"/>
        </w:rPr>
        <w:t>Capital Stock</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(solely with respect to clause (a)) (</w:t>
      </w:r>
      <w:r>
        <w:rPr>
          <w:rFonts w:ascii="Times New Roman" w:hAnsi="Times New Roman"/>
          <w:i/>
          <w:sz w:val="20"/>
        </w:rPr>
        <w:t>No Breach</w:t>
      </w:r>
      <w:r>
        <w:rPr>
          <w:rFonts w:ascii="Times New Roman" w:hAnsi="Times New Roman"/>
          <w:sz w:val="20"/>
        </w:rPr>
        <w:t xml:space="preserve">), </w:t>
      </w:r>
      <w:r>
        <w:rPr>
          <w:rFonts w:ascii="Times New Roman" w:hAnsi="Times New Roman"/>
          <w:sz w:val="20"/>
          <w:u w:val="single"/>
        </w:rPr>
        <w:t>Section 4.25</w:t>
      </w:r>
      <w:r>
        <w:rPr>
          <w:rFonts w:ascii="Times New Roman" w:hAnsi="Times New Roman"/>
          <w:sz w:val="20"/>
        </w:rPr>
        <w:t xml:space="preserve"> (</w:t>
      </w:r>
      <w:r>
        <w:rPr>
          <w:rFonts w:ascii="Times New Roman" w:hAnsi="Times New Roman"/>
          <w:i/>
          <w:sz w:val="20"/>
        </w:rPr>
        <w:t>Brokerage</w:t>
      </w:r>
      <w:r>
        <w:rPr>
          <w:rFonts w:ascii="Times New Roman" w:hAnsi="Times New Roman"/>
          <w:sz w:val="20"/>
        </w:rPr>
        <w:t xml:space="preserve">) and </w:t>
      </w:r>
      <w:r>
        <w:rPr>
          <w:rFonts w:ascii="Times New Roman" w:hAnsi="Times New Roman"/>
          <w:sz w:val="20"/>
          <w:u w:val="single"/>
        </w:rPr>
        <w:t xml:space="preserve">Section 4.27 </w:t>
      </w:r>
      <w:r>
        <w:rPr>
          <w:rFonts w:ascii="Times New Roman" w:hAnsi="Times New Roman"/>
          <w:sz w:val="20"/>
        </w:rPr>
        <w:t>(</w:t>
      </w:r>
      <w:r>
        <w:rPr>
          <w:rFonts w:ascii="Times New Roman" w:hAnsi="Times New Roman"/>
          <w:i/>
          <w:sz w:val="20"/>
        </w:rPr>
        <w:t>Board Approval; Vote Required</w:t>
      </w:r>
      <w:r>
        <w:rPr>
          <w:rFonts w:ascii="Times New Roman" w:hAnsi="Times New Roman"/>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 w:hAnsi="Times New Roman"/>
          <w:sz w:val="20"/>
          <w:u w:val="single"/>
        </w:rPr>
        <w:t>Section 4.3</w:t>
      </w:r>
      <w:r>
        <w:rPr>
          <w:rFonts w:ascii="Times New Roman" w:hAnsi="Times New Roman"/>
          <w:sz w:val="20"/>
        </w:rPr>
        <w:t xml:space="preserve"> (solely with respect to clauses (a), (b) and the last sentence of (c)) (</w:t>
      </w:r>
      <w:r>
        <w:rPr>
          <w:rFonts w:ascii="Times New Roman" w:hAnsi="Times New Roman"/>
          <w:i/>
          <w:sz w:val="20"/>
        </w:rPr>
        <w:t>Capital Stock</w:t>
      </w:r>
      <w:r>
        <w:rPr>
          <w:rFonts w:ascii="Times New Roman" w:hAnsi="Times New Roman"/>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 w:hAnsi="Times New Roman"/>
          <w:i/>
          <w:sz w:val="20"/>
        </w:rPr>
        <w:t>de minimis</w:t>
      </w:r>
      <w:r>
        <w:rPr>
          <w:rFonts w:ascii="Times New Roman" w:hAnsi="Times New Roman"/>
          <w:sz w:val="20"/>
        </w:rPr>
        <w:t xml:space="preserve"> in nature, (iii) the representations and warranties contained in </w:t>
      </w:r>
      <w:r>
        <w:rPr>
          <w:rFonts w:ascii="Times New Roman" w:hAnsi="Times New Roman"/>
          <w:sz w:val="20"/>
          <w:u w:val="single"/>
        </w:rPr>
        <w:t>Section 4.9(a)</w:t>
      </w:r>
      <w:r>
        <w:rPr>
          <w:rFonts w:ascii="Times New Roman" w:hAnsi="Times New Roman"/>
          <w:sz w:val="20"/>
        </w:rPr>
        <w:t xml:space="preserve"> (</w:t>
      </w:r>
      <w:r>
        <w:rPr>
          <w:rFonts w:ascii="Times New Roman" w:hAnsi="Times New Roman"/>
          <w:i/>
          <w:sz w:val="20"/>
        </w:rPr>
        <w:t>Absence of Certain Developments</w:t>
      </w:r>
      <w:r>
        <w:rPr>
          <w:rFonts w:ascii="Times New Roman" w:hAnsi="Times New Roman"/>
          <w:sz w:val="20"/>
        </w:rPr>
        <w:t xml:space="preserve">) shall be true and correct in all respects as of the Closing Date as though made on the Closing Date and (iv) the representations and warranties contained in </w:t>
      </w:r>
      <w:r>
        <w:rPr>
          <w:rFonts w:ascii="Times New Roman" w:hAnsi="Times New Roman"/>
          <w:sz w:val="20"/>
          <w:u w:val="single"/>
        </w:rPr>
        <w:t>ARTICLE IV</w:t>
      </w:r>
      <w:r>
        <w:rPr>
          <w:rFonts w:ascii="Times New Roman" w:hAnsi="Times New Roman"/>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Indivior and Merger Sub shall have performed in all material respects all of its respective covenants and agreements under this Agreement that are required to be performed by it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since the date of this Agreement, there shall not have been or occurred any Indivior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(d) Indivior shall have delivered to Supernus a certificate of Indivior executed by a duly authorized officer thereof, dated as of the Closing Date, stating that the conditions in </w:t>
      </w:r>
      <w:r>
        <w:rPr>
          <w:rFonts w:ascii="Times New Roman" w:hAnsi="Times New Roman"/>
          <w:sz w:val="20"/>
          <w:u w:val="single"/>
        </w:rPr>
        <w:t>Sections 7.3(a)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hereby, including the Merger, may be abandoned at any time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Indivior and Supernus;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by Indivior, if: </w:t>
      </w:r>
    </w:p>
    <w:p>
      <w:pPr>
        <w:pStyle w:val="TextBody"/>
        <w:bidi w:val="0"/>
        <w:spacing w:before="120" w:after="0"/>
        <w:jc w:val="left"/>
        <w:rPr>
          <w:rFonts w:ascii="Times New Roman" w:hAnsi="Times New Roman"/>
          <w:sz w:val="20"/>
        </w:rPr>
      </w:pPr>
      <w:r>
        <w:rPr>
          <w:rFonts w:ascii="Times New Roman" w:hAnsi="Times New Roman"/>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Indivior shall not have the right to terminate this Agreement pursuant to this </w:t>
      </w:r>
      <w:r>
        <w:rPr>
          <w:rFonts w:ascii="Times New Roman" w:hAnsi="Times New Roman"/>
          <w:sz w:val="20"/>
          <w:u w:val="single"/>
        </w:rPr>
        <w:t>Section 8.1(b)(i)</w:t>
      </w:r>
      <w:r>
        <w:rPr>
          <w:rFonts w:ascii="Times New Roman" w:hAnsi="Times New Roman"/>
          <w:sz w:val="20"/>
        </w:rPr>
        <w:t xml:space="preserve"> if any of Indivior or Merger Sub is then in material breach of any covenant, obligation, representation or warranty hereunder; </w:t>
      </w:r>
    </w:p>
    <w:p>
      <w:pPr>
        <w:pStyle w:val="TextBody"/>
        <w:bidi w:val="0"/>
        <w:spacing w:before="240" w:after="0"/>
        <w:jc w:val="left"/>
        <w:rPr>
          <w:rFonts w:ascii="Times New Roman" w:hAnsi="Times New Roman"/>
          <w:sz w:val="20"/>
        </w:rPr>
      </w:pPr>
      <w:r>
        <w:rPr>
          <w:rFonts w:ascii="Times New Roman" w:hAnsi="Times New Roman"/>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 w:hAnsi="Times New Roman"/>
          <w:sz w:val="20"/>
          <w:u w:val="single"/>
        </w:rPr>
        <w:t>Section 8.1(b)(ii)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 w:hAnsi="Times New Roman"/>
          <w:sz w:val="20"/>
          <w:u w:val="single"/>
        </w:rPr>
        <w:t>Section 6.4</w:t>
      </w:r>
      <w:r>
        <w:rPr>
          <w:rFonts w:ascii="Times New Roman" w:hAnsi="Times New Roman"/>
          <w:sz w:val="20"/>
        </w:rPr>
        <w:t xml:space="preserve">, and prior to or concurrently with the termination of this Agreement, Indivior pays to Supernus in immediately available funds any fees required to be paid pursuant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Supernus, if: </w:t>
      </w:r>
    </w:p>
    <w:p>
      <w:pPr>
        <w:pStyle w:val="TextBody"/>
        <w:bidi w:val="0"/>
        <w:spacing w:before="120" w:after="0"/>
        <w:jc w:val="left"/>
        <w:rPr>
          <w:rFonts w:ascii="Times New Roman" w:hAnsi="Times New Roman"/>
          <w:sz w:val="20"/>
        </w:rPr>
      </w:pPr>
      <w:r>
        <w:rPr>
          <w:rFonts w:ascii="Times New Roman" w:hAnsi="Times New Roman"/>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Supernus shall not have the right to terminate this Agreement pursuant to this </w:t>
      </w:r>
      <w:r>
        <w:rPr>
          <w:rFonts w:ascii="Times New Roman" w:hAnsi="Times New Roman"/>
          <w:sz w:val="20"/>
          <w:u w:val="single"/>
        </w:rPr>
        <w:t>Section 8.1(c)(i)</w:t>
      </w:r>
      <w:r>
        <w:rPr>
          <w:rFonts w:ascii="Times New Roman" w:hAnsi="Times New Roman"/>
          <w:sz w:val="20"/>
        </w:rPr>
        <w:t xml:space="preserve"> if Supernus is then in material breach of any covenant, obligation, representation or warranty hereunder; </w:t>
      </w:r>
    </w:p>
    <w:p>
      <w:pPr>
        <w:pStyle w:val="TextBody"/>
        <w:bidi w:val="0"/>
        <w:spacing w:before="240" w:after="0"/>
        <w:jc w:val="left"/>
        <w:rPr>
          <w:rFonts w:ascii="Times New Roman" w:hAnsi="Times New Roman"/>
          <w:sz w:val="20"/>
        </w:rPr>
      </w:pPr>
      <w:r>
        <w:rPr>
          <w:rFonts w:ascii="Times New Roman" w:hAnsi="Times New Roman"/>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 w:hAnsi="Times New Roman"/>
          <w:sz w:val="20"/>
          <w:u w:val="single"/>
        </w:rPr>
        <w:t>Section 8.1(c)(ii)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 w:hAnsi="Times New Roman"/>
          <w:sz w:val="20"/>
          <w:u w:val="single"/>
        </w:rPr>
        <w:t>Section 6.4</w:t>
      </w:r>
      <w:r>
        <w:rPr>
          <w:rFonts w:ascii="Times New Roman" w:hAnsi="Times New Roman"/>
          <w:sz w:val="20"/>
        </w:rPr>
        <w:t xml:space="preserve">, and prior to or concurrently with the termination of this Agreement, Supernus pays to Indivior in immediately available funds any fees required to be paid pursuant </w:t>
      </w:r>
      <w:r>
        <w:rPr>
          <w:rFonts w:ascii="Times New Roman" w:hAnsi="Times New Roman"/>
          <w:sz w:val="20"/>
          <w:u w:val="single"/>
        </w:rPr>
        <w:t>Section 8.3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either Indivior or Supernus, if: </w:t>
      </w:r>
    </w:p>
    <w:p>
      <w:pPr>
        <w:pStyle w:val="TextBody"/>
        <w:bidi w:val="0"/>
        <w:spacing w:before="120" w:after="0"/>
        <w:jc w:val="left"/>
        <w:rPr>
          <w:rFonts w:ascii="Times New Roman" w:hAnsi="Times New Roman"/>
          <w:sz w:val="20"/>
        </w:rPr>
      </w:pPr>
      <w:r>
        <w:rPr>
          <w:rFonts w:ascii="Times New Roman" w:hAnsi="Times New Roman"/>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 w:hAnsi="Times New Roman"/>
          <w:sz w:val="20"/>
          <w:u w:val="single"/>
        </w:rPr>
        <w:t>Section 7.1(d)</w:t>
      </w:r>
      <w:r>
        <w:rPr>
          <w:rFonts w:ascii="Times New Roman" w:hAnsi="Times New Roman"/>
          <w:sz w:val="20"/>
        </w:rPr>
        <w:t xml:space="preserve"> shall have been denied and such denial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8.1(d)(i)</w:t>
      </w:r>
      <w:r>
        <w:rPr>
          <w:rFonts w:ascii="Times New Roman" w:hAnsi="Times New Roman"/>
          <w:sz w:val="20"/>
        </w:rPr>
        <w:t xml:space="preserve"> shall not be available to any party if a material breach by such party of its obligations under </w:t>
      </w:r>
      <w:r>
        <w:rPr>
          <w:rFonts w:ascii="Times New Roman" w:hAnsi="Times New Roman"/>
          <w:sz w:val="20"/>
          <w:u w:val="single"/>
        </w:rPr>
        <w:t>Section 6.5</w:t>
      </w:r>
      <w:r>
        <w:rPr>
          <w:rFonts w:ascii="Times New Roman" w:hAnsi="Times New Roman"/>
          <w:sz w:val="20"/>
        </w:rPr>
        <w:t xml:space="preserve"> or any other provision of this Agreement has been a principal cause of, or principally resulted in, such Order or Law; </w:t>
      </w:r>
    </w:p>
    <w:p>
      <w:pPr>
        <w:pStyle w:val="TextBody"/>
        <w:bidi w:val="0"/>
        <w:spacing w:before="240" w:after="0"/>
        <w:jc w:val="left"/>
        <w:rPr>
          <w:rFonts w:ascii="Times New Roman" w:hAnsi="Times New Roman"/>
          <w:sz w:val="20"/>
        </w:rPr>
      </w:pPr>
      <w:r>
        <w:rPr>
          <w:rFonts w:ascii="Times New Roman" w:hAnsi="Times New Roman"/>
          <w:sz w:val="20"/>
        </w:rPr>
        <w:t>(ii) the Merger contemplated hereby has not been consummated by the date that is six (6) months following the date of this Agreement (the “</w:t>
      </w:r>
      <w:r>
        <w:rPr>
          <w:rFonts w:ascii="Times New Roman" w:hAnsi="Times New Roman"/>
          <w:b/>
          <w:sz w:val="20"/>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if the Merger shall not have been consummated by the Termination Date but on that date the condition set forth in </w:t>
      </w:r>
      <w:r>
        <w:rPr>
          <w:rFonts w:ascii="Times New Roman" w:hAnsi="Times New Roman"/>
          <w:sz w:val="20"/>
          <w:u w:val="single"/>
        </w:rPr>
        <w:t>Section 7.1(d)</w:t>
      </w:r>
      <w:r>
        <w:rPr>
          <w:rFonts w:ascii="Times New Roman" w:hAnsi="Times New Roman"/>
          <w:sz w:val="20"/>
        </w:rPr>
        <w:t xml:space="preserve"> (</w:t>
      </w:r>
      <w:r>
        <w:rPr>
          <w:rFonts w:ascii="Times New Roman" w:hAnsi="Times New Roman"/>
          <w:i/>
          <w:sz w:val="20"/>
        </w:rPr>
        <w:t>Antitrust Approval</w:t>
      </w:r>
      <w:r>
        <w:rPr>
          <w:rFonts w:ascii="Times New Roman" w:hAnsi="Times New Roman"/>
          <w:sz w:val="20"/>
        </w:rPr>
        <w:t xml:space="preserve">) shall have not been satisfied or waived, but all other conditions to the parties’ obligations to consummate the transactions contemplated by this Agreement set forth in </w:t>
      </w:r>
      <w:r>
        <w:rPr>
          <w:rFonts w:ascii="Times New Roman" w:hAnsi="Times New Roman"/>
          <w:sz w:val="20"/>
          <w:u w:val="single"/>
        </w:rPr>
        <w:t>ARTICLE VII</w:t>
      </w:r>
      <w:r>
        <w:rPr>
          <w:rFonts w:ascii="Times New Roman" w:hAnsi="Times New Roman"/>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 w:hAnsi="Times New Roman"/>
          <w:sz w:val="20"/>
          <w:u w:val="single"/>
        </w:rPr>
        <w:t>Section 7.1(d)</w:t>
      </w:r>
      <w:r>
        <w:rPr>
          <w:rFonts w:ascii="Times New Roman" w:hAnsi="Times New Roman"/>
          <w:sz w:val="20"/>
        </w:rPr>
        <w:t xml:space="preserve"> (</w:t>
      </w:r>
      <w:r>
        <w:rPr>
          <w:rFonts w:ascii="Times New Roman" w:hAnsi="Times New Roman"/>
          <w:i/>
          <w:sz w:val="20"/>
        </w:rPr>
        <w:t>Antitrust Approval</w:t>
      </w:r>
      <w:r>
        <w:rPr>
          <w:rFonts w:ascii="Times New Roman" w:hAnsi="Times New Roman"/>
          <w:sz w:val="20"/>
        </w:rPr>
        <w:t xml:space="preserve">) shall have not been satisfied or waived, but all other conditions to the parties’ obligations to consummate the transactions contemplated by this Agreement set forth in </w:t>
      </w:r>
      <w:r>
        <w:rPr>
          <w:rFonts w:ascii="Times New Roman" w:hAnsi="Times New Roman"/>
          <w:sz w:val="20"/>
          <w:u w:val="single"/>
        </w:rPr>
        <w:t>ARTICLE VII</w:t>
      </w:r>
      <w:r>
        <w:rPr>
          <w:rFonts w:ascii="Times New Roman" w:hAnsi="Times New Roman"/>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under this </w:t>
      </w:r>
      <w:r>
        <w:rPr>
          <w:rFonts w:ascii="Times New Roman" w:hAnsi="Times New Roman"/>
          <w:sz w:val="20"/>
          <w:u w:val="single"/>
        </w:rPr>
        <w:t>Section 8.1(d)(ii)</w:t>
      </w:r>
      <w:r>
        <w:rPr>
          <w:rFonts w:ascii="Times New Roman" w:hAnsi="Times New Roman"/>
          <w:sz w:val="20"/>
        </w:rPr>
        <w:t xml:space="preserve"> shall not be available to any party if a material breach by such party of its obligations under any provision of this Agreement has been the principal cause of, or principally resulted in, the failure of the Merger to be consummated by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8.1(d)(iii)</w:t>
      </w:r>
      <w:r>
        <w:rPr>
          <w:rFonts w:ascii="Times New Roman" w:hAnsi="Times New Roman"/>
          <w:sz w:val="20"/>
        </w:rPr>
        <w:t xml:space="preserve"> shall not be available to Supernus if a material breach by Supernus of its obligations under any provision of this Agreement has been the principal cause of, or principally resulted in, the failure to obtain the Supernus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8.1(d)(iv)</w:t>
      </w:r>
      <w:r>
        <w:rPr>
          <w:rFonts w:ascii="Times New Roman" w:hAnsi="Times New Roman"/>
          <w:sz w:val="20"/>
        </w:rPr>
        <w:t xml:space="preserve"> shall not be available to Indivior if a material breach by Indivior of its obligations under any provision of this Agreement has been the principal cause of, or principally resulted in, the failure to obtain the Indivior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8.1</w:t>
      </w:r>
      <w:r>
        <w:rPr>
          <w:rFonts w:ascii="Times New Roman" w:hAnsi="Times New Roman"/>
          <w:sz w:val="20"/>
        </w:rPr>
        <w:t xml:space="preserve"> of this Agreement, this Agreement shall be of no further force or effect; </w:t>
      </w:r>
      <w:r>
        <w:rPr>
          <w:rFonts w:ascii="Times New Roman" w:hAnsi="Times New Roman"/>
          <w:sz w:val="20"/>
          <w:u w:val="single"/>
        </w:rPr>
        <w:t>provided, however</w:t>
      </w:r>
      <w:r>
        <w:rPr>
          <w:rFonts w:ascii="Times New Roman" w:hAnsi="Times New Roman"/>
          <w:sz w:val="20"/>
        </w:rPr>
        <w:t>, that (a)</w:t>
      </w:r>
      <w:r>
        <w:rPr>
          <w:rFonts w:ascii="Times New Roman" w:hAnsi="Times New Roman"/>
          <w:sz w:val="20"/>
          <w:u w:val="single"/>
        </w:rPr>
        <w:t> Section 6.1(b)</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(i) this Agreement is terminated by Supernus pursuant to </w:t>
      </w:r>
      <w:r>
        <w:rPr>
          <w:rFonts w:ascii="Times New Roman" w:hAnsi="Times New Roman"/>
          <w:sz w:val="20"/>
          <w:u w:val="single"/>
        </w:rPr>
        <w:t>Section 8.1(c)(ii)</w:t>
      </w:r>
      <w:r>
        <w:rPr>
          <w:rFonts w:ascii="Times New Roman" w:hAnsi="Times New Roman"/>
          <w:sz w:val="20"/>
        </w:rPr>
        <w:t xml:space="preserve"> (</w:t>
      </w:r>
      <w:r>
        <w:rPr>
          <w:rFonts w:ascii="Times New Roman" w:hAnsi="Times New Roman"/>
          <w:i/>
          <w:sz w:val="20"/>
        </w:rPr>
        <w:t>Indivior Adverse Recommendation Change</w:t>
      </w:r>
      <w:r>
        <w:rPr>
          <w:rFonts w:ascii="Times New Roman" w:hAnsi="Times New Roman"/>
          <w:sz w:val="20"/>
        </w:rPr>
        <w:t xml:space="preserve">) or (ii) this Agreement is terminated by Indivior pursuant to </w:t>
      </w:r>
      <w:r>
        <w:rPr>
          <w:rFonts w:ascii="Times New Roman" w:hAnsi="Times New Roman"/>
          <w:sz w:val="20"/>
          <w:u w:val="single"/>
        </w:rPr>
        <w:t>Section 8.1(b)(iii)</w:t>
      </w:r>
      <w:r>
        <w:rPr>
          <w:rFonts w:ascii="Times New Roman" w:hAnsi="Times New Roman"/>
          <w:sz w:val="20"/>
        </w:rPr>
        <w:t xml:space="preserve"> (</w:t>
      </w:r>
      <w:r>
        <w:rPr>
          <w:rFonts w:ascii="Times New Roman" w:hAnsi="Times New Roman"/>
          <w:i/>
          <w:sz w:val="20"/>
        </w:rPr>
        <w:t>Indivior Superior Proposal</w:t>
      </w:r>
      <w:r>
        <w:rPr>
          <w:rFonts w:ascii="Times New Roman" w:hAnsi="Times New Roman"/>
          <w:sz w:val="20"/>
        </w:rPr>
        <w:t xml:space="preserve">),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(i) this Agreement is terminated by Indivior pursuant to </w:t>
      </w:r>
      <w:r>
        <w:rPr>
          <w:rFonts w:ascii="Times New Roman" w:hAnsi="Times New Roman"/>
          <w:sz w:val="20"/>
          <w:u w:val="single"/>
        </w:rPr>
        <w:t>Section 8.1(b)(ii)</w:t>
      </w:r>
      <w:r>
        <w:rPr>
          <w:rFonts w:ascii="Times New Roman" w:hAnsi="Times New Roman"/>
          <w:sz w:val="20"/>
        </w:rPr>
        <w:t xml:space="preserve"> (</w:t>
      </w:r>
      <w:r>
        <w:rPr>
          <w:rFonts w:ascii="Times New Roman" w:hAnsi="Times New Roman"/>
          <w:i/>
          <w:sz w:val="20"/>
        </w:rPr>
        <w:t>Supernus Adverse Recommendation Change</w:t>
      </w:r>
      <w:r>
        <w:rPr>
          <w:rFonts w:ascii="Times New Roman" w:hAnsi="Times New Roman"/>
          <w:sz w:val="20"/>
        </w:rPr>
        <w:t xml:space="preserve">) or (ii) this Agreement is terminated by Supernus pursuant to </w:t>
      </w:r>
      <w:r>
        <w:rPr>
          <w:rFonts w:ascii="Times New Roman" w:hAnsi="Times New Roman"/>
          <w:sz w:val="20"/>
          <w:u w:val="single"/>
        </w:rPr>
        <w:t>Section 8.1(c)(iii)</w:t>
      </w:r>
      <w:r>
        <w:rPr>
          <w:rFonts w:ascii="Times New Roman" w:hAnsi="Times New Roman"/>
          <w:sz w:val="20"/>
        </w:rPr>
        <w:t xml:space="preserve"> (</w:t>
      </w:r>
      <w:r>
        <w:rPr>
          <w:rFonts w:ascii="Times New Roman" w:hAnsi="Times New Roman"/>
          <w:i/>
          <w:sz w:val="20"/>
        </w:rPr>
        <w:t>Indivior Superior Proposal</w:t>
      </w:r>
      <w:r>
        <w:rPr>
          <w:rFonts w:ascii="Times New Roman" w:hAnsi="Times New Roman"/>
          <w:sz w:val="20"/>
        </w:rPr>
        <w:t xml:space="preserve">),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 w:hAnsi="Times New Roman"/>
          <w:sz w:val="20"/>
          <w:u w:val="single"/>
        </w:rPr>
        <w:t>Section 8.1(c)(i)</w:t>
      </w:r>
      <w:r>
        <w:rPr>
          <w:rFonts w:ascii="Times New Roman" w:hAnsi="Times New Roman"/>
          <w:sz w:val="20"/>
        </w:rPr>
        <w:t xml:space="preserve"> (</w:t>
      </w:r>
      <w:r>
        <w:rPr>
          <w:rFonts w:ascii="Times New Roman" w:hAnsi="Times New Roman"/>
          <w:i/>
          <w:sz w:val="20"/>
        </w:rPr>
        <w:t>Indivior Breach</w:t>
      </w:r>
      <w:r>
        <w:rPr>
          <w:rFonts w:ascii="Times New Roman" w:hAnsi="Times New Roman"/>
          <w:sz w:val="20"/>
        </w:rPr>
        <w:t xml:space="preserve">) or by Indivior or Supernus pursuant to </w:t>
      </w:r>
      <w:r>
        <w:rPr>
          <w:rFonts w:ascii="Times New Roman" w:hAnsi="Times New Roman"/>
          <w:sz w:val="20"/>
          <w:u w:val="single"/>
        </w:rPr>
        <w:t>Section 8.1(d)(ii)</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or </w:t>
      </w:r>
      <w:r>
        <w:rPr>
          <w:rFonts w:ascii="Times New Roman" w:hAnsi="Times New Roman"/>
          <w:sz w:val="20"/>
          <w:u w:val="single"/>
        </w:rPr>
        <w:t>Section 8.1(d)(iv)</w:t>
      </w:r>
      <w:r>
        <w:rPr>
          <w:rFonts w:ascii="Times New Roman" w:hAnsi="Times New Roman"/>
          <w:sz w:val="20"/>
        </w:rPr>
        <w:t xml:space="preserve"> (</w:t>
      </w:r>
      <w:r>
        <w:rPr>
          <w:rFonts w:ascii="Times New Roman" w:hAnsi="Times New Roman"/>
          <w:i/>
          <w:sz w:val="20"/>
        </w:rPr>
        <w:t>Indivior Stockholder Approval</w:t>
      </w:r>
      <w:r>
        <w:rPr>
          <w:rFonts w:ascii="Times New Roman" w:hAnsi="Times New Roman"/>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 w:hAnsi="Times New Roman"/>
          <w:sz w:val="20"/>
          <w:u w:val="single"/>
        </w:rPr>
        <w:t>Section 8.3(c)</w:t>
      </w:r>
      <w:r>
        <w:rPr>
          <w:rFonts w:ascii="Times New Roman" w:hAnsi="Times New Roman"/>
          <w:sz w:val="20"/>
        </w:rPr>
        <w:t xml:space="preserve">), then Indivior shall pay to Supernus the Indivior Termination Fee concurrently with the consummation of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 w:hAnsi="Times New Roman"/>
          <w:sz w:val="20"/>
          <w:u w:val="single"/>
        </w:rPr>
        <w:t>Section 8.1(b)(i)</w:t>
      </w:r>
      <w:r>
        <w:rPr>
          <w:rFonts w:ascii="Times New Roman" w:hAnsi="Times New Roman"/>
          <w:sz w:val="20"/>
        </w:rPr>
        <w:t xml:space="preserve"> (</w:t>
      </w:r>
      <w:r>
        <w:rPr>
          <w:rFonts w:ascii="Times New Roman" w:hAnsi="Times New Roman"/>
          <w:i/>
          <w:sz w:val="20"/>
        </w:rPr>
        <w:t>Supernus Breach</w:t>
      </w:r>
      <w:r>
        <w:rPr>
          <w:rFonts w:ascii="Times New Roman" w:hAnsi="Times New Roman"/>
          <w:sz w:val="20"/>
        </w:rPr>
        <w:t xml:space="preserve">) or by Indivior or Supernus pursuant to </w:t>
      </w:r>
      <w:r>
        <w:rPr>
          <w:rFonts w:ascii="Times New Roman" w:hAnsi="Times New Roman"/>
          <w:sz w:val="20"/>
          <w:u w:val="single"/>
        </w:rPr>
        <w:t>Section 8.1(d)(ii)</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or </w:t>
      </w:r>
      <w:r>
        <w:rPr>
          <w:rFonts w:ascii="Times New Roman" w:hAnsi="Times New Roman"/>
          <w:sz w:val="20"/>
          <w:u w:val="single"/>
        </w:rPr>
        <w:t>Section 8.1(d)(iii)</w:t>
      </w:r>
      <w:r>
        <w:rPr>
          <w:rFonts w:ascii="Times New Roman" w:hAnsi="Times New Roman"/>
          <w:sz w:val="20"/>
        </w:rPr>
        <w:t xml:space="preserve"> (</w:t>
      </w:r>
      <w:r>
        <w:rPr>
          <w:rFonts w:ascii="Times New Roman" w:hAnsi="Times New Roman"/>
          <w:i/>
          <w:sz w:val="20"/>
        </w:rPr>
        <w:t>Supernus Stockholder Approval</w:t>
      </w:r>
      <w:r>
        <w:rPr>
          <w:rFonts w:ascii="Times New Roman" w:hAnsi="Times New Roman"/>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 w:hAnsi="Times New Roman"/>
          <w:b/>
          <w:sz w:val="20"/>
        </w:rPr>
        <w:t>Acquisition Proposal</w:t>
      </w:r>
      <w:r>
        <w:rPr>
          <w:rFonts w:ascii="Times New Roman" w:hAnsi="Times New Roman"/>
          <w:sz w:val="20"/>
        </w:rPr>
        <w:t xml:space="preserve">” for all purposes under this </w:t>
      </w:r>
      <w:r>
        <w:rPr>
          <w:rFonts w:ascii="Times New Roman" w:hAnsi="Times New Roman"/>
          <w:sz w:val="20"/>
          <w:u w:val="single"/>
        </w:rPr>
        <w:t>Section 8.3(d)</w:t>
      </w:r>
      <w:r>
        <w:rPr>
          <w:rFonts w:ascii="Times New Roman" w:hAnsi="Times New Roman"/>
          <w:sz w:val="20"/>
        </w:rPr>
        <w:t xml:space="preserve">), then Supernus shall pay to Indivior the Supernus Termination Fee concurrently with the consummation of such Acquisition Proposal. </w:t>
      </w:r>
    </w:p>
    <w:p>
      <w:pPr>
        <w:pStyle w:val="TextBody"/>
        <w:bidi w:val="0"/>
        <w:spacing w:before="240" w:after="0"/>
        <w:jc w:val="left"/>
        <w:rPr>
          <w:rFonts w:ascii="Times New Roman" w:hAnsi="Times New Roman"/>
          <w:sz w:val="20"/>
        </w:rPr>
      </w:pPr>
      <w:r>
        <w:rPr>
          <w:rFonts w:ascii="Times New Roman" w:hAnsi="Times New Roman"/>
          <w:sz w:val="20"/>
        </w:rPr>
        <w:t>(e) As used in this Agreement, “</w:t>
      </w:r>
      <w:r>
        <w:rPr>
          <w:rFonts w:ascii="Times New Roman" w:hAnsi="Times New Roman"/>
          <w:b/>
          <w:sz w:val="20"/>
        </w:rPr>
        <w:t>Indivior Termination Fee</w:t>
      </w:r>
      <w:r>
        <w:rPr>
          <w:rFonts w:ascii="Times New Roman" w:hAnsi="Times New Roman"/>
          <w:sz w:val="20"/>
        </w:rPr>
        <w:t>” shall mean $174.0 million and “</w:t>
      </w:r>
      <w:r>
        <w:rPr>
          <w:rFonts w:ascii="Times New Roman" w:hAnsi="Times New Roman"/>
          <w:b/>
          <w:sz w:val="20"/>
        </w:rPr>
        <w:t>Supernus Termination Fee</w:t>
      </w:r>
      <w:r>
        <w:rPr>
          <w:rFonts w:ascii="Times New Roman" w:hAnsi="Times New Roman"/>
          <w:sz w:val="20"/>
        </w:rPr>
        <w:t xml:space="preserve">” shall mean $101.0 million.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 w:hAnsi="Times New Roman"/>
          <w:sz w:val="20"/>
          <w:u w:val="single"/>
        </w:rPr>
        <w:t>Section 8.3</w:t>
      </w:r>
      <w:r>
        <w:rPr>
          <w:rFonts w:ascii="Times New Roman" w:hAnsi="Times New Roman"/>
          <w:sz w:val="20"/>
        </w:rPr>
        <w:t xml:space="preserve"> (such party, the “</w:t>
      </w:r>
      <w:r>
        <w:rPr>
          <w:rFonts w:ascii="Times New Roman" w:hAnsi="Times New Roman"/>
          <w:b/>
          <w:sz w:val="20"/>
        </w:rPr>
        <w:t>Defaulting Party</w:t>
      </w:r>
      <w:r>
        <w:rPr>
          <w:rFonts w:ascii="Times New Roman" w:hAnsi="Times New Roman"/>
          <w:sz w:val="20"/>
        </w:rPr>
        <w:t>”), and, in order to obtain such payment, the other party (the “</w:t>
      </w:r>
      <w:r>
        <w:rPr>
          <w:rFonts w:ascii="Times New Roman" w:hAnsi="Times New Roman"/>
          <w:b/>
          <w:sz w:val="20"/>
        </w:rPr>
        <w:t>Non-Defaulting Party</w:t>
      </w:r>
      <w:r>
        <w:rPr>
          <w:rFonts w:ascii="Times New Roman" w:hAnsi="Times New Roman"/>
          <w:sz w:val="20"/>
        </w:rPr>
        <w:t xml:space="preserve">”) commences a suit which results in a judgment against the Defaulting Party for any payments set forth in this </w:t>
      </w:r>
      <w:r>
        <w:rPr>
          <w:rFonts w:ascii="Times New Roman" w:hAnsi="Times New Roman"/>
          <w:sz w:val="20"/>
          <w:u w:val="single"/>
        </w:rPr>
        <w:t>Section 8.3</w:t>
      </w:r>
      <w:r>
        <w:rPr>
          <w:rFonts w:ascii="Times New Roman" w:hAnsi="Times New Roman"/>
          <w:sz w:val="20"/>
        </w:rPr>
        <w:t xml:space="preserve">, the Defaulting Party shall pay to the Non-Defaulting Party its costs and expenses (including attorneys’ fees) in connection with such suit, together with interest on the Indivior Termination Fee or the Supernus Termination Fee, as applicable, from the date payment was required to be made until the date of such payment at the prime rate published in the </w:t>
      </w:r>
      <w:r>
        <w:rPr>
          <w:rFonts w:ascii="Times New Roman" w:hAnsi="Times New Roman"/>
          <w:i/>
          <w:sz w:val="20"/>
        </w:rPr>
        <w:t>Wall Street Journal</w:t>
      </w:r>
      <w:r>
        <w:rPr>
          <w:rFonts w:ascii="Times New Roman" w:hAnsi="Times New Roman"/>
          <w:sz w:val="20"/>
        </w:rPr>
        <w:t xml:space="preserve"> in effect on the date such payment was required to be made. If this Agreement is terminated pursuant to a provision that calls for a payment to be made under this </w:t>
      </w:r>
      <w:r>
        <w:rPr>
          <w:rFonts w:ascii="Times New Roman" w:hAnsi="Times New Roman"/>
          <w:sz w:val="20"/>
          <w:u w:val="single"/>
        </w:rPr>
        <w:t>Section 8.3</w:t>
      </w:r>
      <w:r>
        <w:rPr>
          <w:rFonts w:ascii="Times New Roman" w:hAnsi="Times New Roman"/>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 w:hAnsi="Times New Roman"/>
          <w:sz w:val="20"/>
          <w:u w:val="single"/>
        </w:rPr>
        <w:t>Section 8.3</w:t>
      </w:r>
      <w:r>
        <w:rPr>
          <w:rFonts w:ascii="Times New Roman" w:hAnsi="Times New Roman"/>
          <w:sz w:val="20"/>
        </w:rPr>
        <w:t xml:space="preserve"> and the specific performance remedies set forth in </w:t>
      </w:r>
      <w:r>
        <w:rPr>
          <w:rFonts w:ascii="Times New Roman" w:hAnsi="Times New Roman"/>
          <w:sz w:val="20"/>
          <w:u w:val="single"/>
        </w:rPr>
        <w:t>Section 9.12</w:t>
      </w:r>
      <w:r>
        <w:rPr>
          <w:rFonts w:ascii="Times New Roman" w:hAnsi="Times New Roman"/>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 w:hAnsi="Times New Roman"/>
          <w:sz w:val="20"/>
          <w:u w:val="single"/>
        </w:rPr>
        <w:t>Section 8.3</w:t>
      </w:r>
      <w:r>
        <w:rPr>
          <w:rFonts w:ascii="Times New Roman" w:hAnsi="Times New Roman"/>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 w:hAnsi="Times New Roman"/>
          <w:sz w:val="20"/>
          <w:u w:val="single"/>
        </w:rPr>
        <w:t>Section 8.3</w:t>
      </w:r>
      <w:r>
        <w:rPr>
          <w:rFonts w:ascii="Times New Roman" w:hAnsi="Times New Roman"/>
          <w:sz w:val="20"/>
        </w:rPr>
        <w:t xml:space="preserve">,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Expenses</w:t>
      </w:r>
      <w:r>
        <w:rPr>
          <w:rFonts w:ascii="Times New Roman" w:hAnsi="Times New Roman"/>
          <w:sz w:val="20"/>
        </w:rPr>
        <w:t xml:space="preserve">.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Amendment</w:t>
      </w:r>
      <w:r>
        <w:rPr>
          <w:rFonts w:ascii="Times New Roman" w:hAnsi="Times New Roman"/>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9.8</w:t>
      </w:r>
      <w:r>
        <w:rPr>
          <w:rFonts w:ascii="Times New Roman" w:hAnsi="Times New Roman"/>
          <w:sz w:val="20"/>
        </w:rPr>
        <w:t xml:space="preserve">, </w:t>
      </w:r>
      <w:r>
        <w:rPr>
          <w:rFonts w:ascii="Times New Roman" w:hAnsi="Times New Roman"/>
          <w:sz w:val="20"/>
          <w:u w:val="single"/>
        </w:rPr>
        <w:t>Section 9.13</w:t>
      </w:r>
      <w:r>
        <w:rPr>
          <w:rFonts w:ascii="Times New Roman" w:hAnsi="Times New Roman"/>
          <w:sz w:val="20"/>
        </w:rPr>
        <w:t xml:space="preserve">,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No Survival of Representations and Warranties</w:t>
      </w:r>
      <w:r>
        <w:rPr>
          <w:rFonts w:ascii="Times New Roman" w:hAnsi="Times New Roman"/>
          <w:sz w:val="20"/>
        </w:rPr>
        <w:t xml:space="preserve">.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Entire Agreement; Counterparts</w:t>
      </w:r>
      <w:r>
        <w:rPr>
          <w:rFonts w:ascii="Times New Roman" w:hAnsi="Times New Roman"/>
          <w:sz w:val="20"/>
        </w:rPr>
        <w:t xml:space="preserve">.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Applicable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(b) The parties agree that the appropriate, exclusive and convenient forum (the “</w:t>
      </w:r>
      <w:r>
        <w:rPr>
          <w:rFonts w:ascii="Times New Roman" w:hAnsi="Times New Roman"/>
          <w:b/>
          <w:sz w:val="20"/>
        </w:rPr>
        <w:t>Forum</w:t>
      </w:r>
      <w:r>
        <w:rPr>
          <w:rFonts w:ascii="Times New Roman" w:hAnsi="Times New Roman"/>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9.6</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9.6</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 w:hAnsi="Times New Roman"/>
          <w:sz w:val="20"/>
          <w:u w:val="single"/>
        </w:rPr>
        <w:t>Section 9.6(b)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OF THE PARTIES HERETO IRREVOCABLY WAIVES ANY AND ALL RIGHT TO TRIAL BY JURY IN ANY LEGAL PROCEEDING ARISING OUT OF OR RELATING TO THIS AGREEMENT OR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such rights, interests or obligations without such consent shall be void and of no effect; </w:t>
      </w:r>
      <w:r>
        <w:rPr>
          <w:rFonts w:ascii="Times New Roman" w:hAnsi="Times New Roman"/>
          <w:sz w:val="20"/>
          <w:u w:val="single"/>
        </w:rPr>
        <w:t>provided</w:t>
      </w:r>
      <w:r>
        <w:rPr>
          <w:rFonts w:ascii="Times New Roman" w:hAnsi="Times New Roman"/>
          <w:sz w:val="20"/>
        </w:rPr>
        <w:t xml:space="preserve"> that the parties hereto may assign (or designate) any or all of its rights or obligations hereunder for collateral security purposes to an administrative agent for the Lenders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No Third Party Beneficiaries</w:t>
      </w:r>
      <w:r>
        <w:rPr>
          <w:rFonts w:ascii="Times New Roman" w:hAnsi="Times New Roman"/>
          <w:sz w:val="20"/>
        </w:rPr>
        <w:t xml:space="preserve">. Except for following the Effective Time, the right of the Indemnified Parties to enforce the provisions of </w:t>
      </w:r>
      <w:r>
        <w:rPr>
          <w:rFonts w:ascii="Times New Roman" w:hAnsi="Times New Roman"/>
          <w:sz w:val="20"/>
          <w:u w:val="single"/>
        </w:rPr>
        <w:t>Section 6.7</w:t>
      </w:r>
      <w:r>
        <w:rPr>
          <w:rFonts w:ascii="Times New Roman" w:hAnsi="Times New Roman"/>
          <w:sz w:val="20"/>
        </w:rPr>
        <w:t xml:space="preserve"> only and the right of current or former directors or officers of Indivior to enforce the provisions of </w:t>
      </w:r>
      <w:r>
        <w:rPr>
          <w:rFonts w:ascii="Times New Roman" w:hAnsi="Times New Roman"/>
          <w:sz w:val="20"/>
          <w:u w:val="single"/>
        </w:rPr>
        <w:t>Section 6.18(a)</w:t>
      </w:r>
      <w:r>
        <w:rPr>
          <w:rFonts w:ascii="Times New Roman" w:hAnsi="Times New Roman"/>
          <w:sz w:val="20"/>
        </w:rPr>
        <w:t xml:space="preserve">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Notices</w:t>
      </w:r>
      <w:r>
        <w:rPr>
          <w:rFonts w:ascii="Times New Roman" w:hAnsi="Times New Roman"/>
          <w:sz w:val="20"/>
        </w:rPr>
        <w:t xml:space="preserve">.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240" w:after="0"/>
        <w:jc w:val="left"/>
        <w:rPr>
          <w:rFonts w:ascii="Times New Roman" w:hAnsi="Times New Roman"/>
          <w:sz w:val="20"/>
        </w:rPr>
      </w:pPr>
      <w:r>
        <w:rPr>
          <w:rFonts w:ascii="Times New Roman" w:hAnsi="Times New Roman"/>
          <w:sz w:val="20"/>
          <w:u w:val="single"/>
        </w:rPr>
        <w:t>Notices to Indivior or Merger Sub prior to the Closing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3025 John F Kennedy Blvd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p>
      <w:pPr>
        <w:pStyle w:val="TextBody"/>
        <w:bidi w:val="0"/>
        <w:spacing w:before="0" w:after="0"/>
        <w:jc w:val="left"/>
        <w:rPr>
          <w:rFonts w:ascii="Times New Roman" w:hAnsi="Times New Roman"/>
          <w:sz w:val="20"/>
        </w:rPr>
      </w:pPr>
      <w:r>
        <w:rPr>
          <w:rFonts w:ascii="Times New Roman" w:hAnsi="Times New Roman"/>
          <w:sz w:val="20"/>
        </w:rPr>
        <w:t xml:space="preserve">Attention:   Rachael Bushey </w:t>
      </w:r>
    </w:p>
    <w:p>
      <w:pPr>
        <w:pStyle w:val="TextBody"/>
        <w:bidi w:val="0"/>
        <w:spacing w:before="0" w:after="0"/>
        <w:jc w:val="left"/>
        <w:rPr/>
      </w:pPr>
      <w:r>
        <w:rPr/>
        <w:t>  </w:t>
      </w:r>
      <w:r>
        <w:rPr>
          <w:rFonts w:ascii="Times New Roman" w:hAnsi="Times New Roman"/>
          <w:sz w:val="20"/>
        </w:rPr>
        <w:t xml:space="preserve">Jennifer Porter </w:t>
      </w:r>
    </w:p>
    <w:p>
      <w:pPr>
        <w:pStyle w:val="TextBody"/>
        <w:bidi w:val="0"/>
        <w:spacing w:before="0" w:after="0"/>
        <w:jc w:val="left"/>
        <w:rPr/>
      </w:pPr>
      <w:r>
        <w:rPr/>
        <w:t>  </w:t>
      </w:r>
      <w:r>
        <w:rPr>
          <w:rFonts w:ascii="Times New Roman" w:hAnsi="Times New Roman"/>
          <w:sz w:val="20"/>
        </w:rPr>
        <w:t xml:space="preserve">Stephanie Isaia </w:t>
      </w:r>
    </w:p>
    <w:p>
      <w:pPr>
        <w:pStyle w:val="TextBody"/>
        <w:bidi w:val="0"/>
        <w:spacing w:before="0" w:after="0"/>
        <w:jc w:val="left"/>
        <w:rPr>
          <w:rFonts w:ascii="Times New Roman" w:hAnsi="Times New Roman"/>
          <w:sz w:val="20"/>
        </w:rPr>
      </w:pPr>
      <w:r>
        <w:rPr>
          <w:rFonts w:ascii="Times New Roman" w:hAnsi="Times New Roman"/>
          <w:sz w:val="20"/>
        </w:rPr>
        <w:t xml:space="preserve">Email: RBushey@goodwinlaw.com, JPorter@goodwinlaw.com </w:t>
      </w:r>
    </w:p>
    <w:p>
      <w:pPr>
        <w:pStyle w:val="TextBody"/>
        <w:bidi w:val="0"/>
        <w:spacing w:before="0" w:after="0"/>
        <w:jc w:val="left"/>
        <w:rPr>
          <w:rFonts w:ascii="Times New Roman" w:hAnsi="Times New Roman"/>
          <w:sz w:val="20"/>
        </w:rPr>
      </w:pPr>
      <w:r>
        <w:rPr>
          <w:rFonts w:ascii="Times New Roman" w:hAnsi="Times New Roman"/>
          <w:sz w:val="20"/>
        </w:rPr>
        <w:t xml:space="preserve">SIsaia@goodwinlaw.com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Supernus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 w:hAnsi="Times New Roman"/>
          <w:sz w:val="20"/>
          <w:u w:val="single"/>
        </w:rPr>
        <w:t>Section 9.6(b)</w:t>
      </w:r>
      <w:r>
        <w:rPr>
          <w:rFonts w:ascii="Times New Roman" w:hAnsi="Times New Roman"/>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 w:hAnsi="Times New Roman"/>
          <w:sz w:val="20"/>
          <w:u w:val="single"/>
        </w:rPr>
        <w:t>Section 9.6(b)</w:t>
      </w:r>
      <w:r>
        <w:rPr>
          <w:rFonts w:ascii="Times New Roman" w:hAnsi="Times New Roman"/>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 w:hAnsi="Times New Roman"/>
          <w:sz w:val="20"/>
          <w:u w:val="single"/>
        </w:rPr>
        <w:t>Section 9.12</w:t>
      </w:r>
      <w:r>
        <w:rPr>
          <w:rFonts w:ascii="Times New Roman" w:hAnsi="Times New Roman"/>
          <w:sz w:val="20"/>
        </w:rPr>
        <w:t xml:space="preserve"> are an integral part of the transactions contemplated by this Agreement and that, without these agreements, neither Supernus nor Indivior would enter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Debt Financing</w:t>
      </w:r>
      <w:r>
        <w:rPr>
          <w:rFonts w:ascii="Times New Roman" w:hAnsi="Times New Roman"/>
          <w:sz w:val="20"/>
        </w:rPr>
        <w:t xml:space="preserve">. Notwithstanding anything herein to the contrary, Supernus, Indivior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 </w:t>
      </w:r>
    </w:p>
    <w:p>
      <w:pPr>
        <w:pStyle w:val="TextBody"/>
        <w:bidi w:val="0"/>
        <w:spacing w:before="240" w:after="0"/>
        <w:jc w:val="left"/>
        <w:rPr>
          <w:rFonts w:ascii="Times New Roman" w:hAnsi="Times New Roman"/>
          <w:sz w:val="20"/>
        </w:rPr>
      </w:pPr>
      <w:r>
        <w:rPr>
          <w:rFonts w:ascii="Times New Roman" w:hAnsi="Times New Roman"/>
          <w:sz w:val="20"/>
        </w:rPr>
        <w:t xml:space="preserve">(c)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such Action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KNOWINGLY, INTENTIONALLY AND VOLUNTARILY WAIVE TO THE FULLEST EXTENT PERMITTED BY APPLICABLE LAW TRIAL BY JURY IN ANY ACTION, SUIT OR PROCEEDING BROUGHT AGAINST THE DEBT FINANCING SOURCES IN ANY WAY ARISING OUT OF OR RELATING TO THIS AGREEMENT, THE FINANCING, THE COMMITMENT LETTER, ANY DEFINITIVE DOCUMENT RELATING TO THE FINANCING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agree that (and each other party hereto agrees that) the Financing Sources are express third-party beneficiaries of, and may enforce any of the provisions of this </w:t>
      </w:r>
      <w:r>
        <w:rPr>
          <w:rFonts w:ascii="Times New Roman" w:hAnsi="Times New Roman"/>
          <w:sz w:val="20"/>
          <w:u w:val="single"/>
        </w:rPr>
        <w:t>Section 9.13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9.13</w:t>
      </w:r>
      <w:r>
        <w:rPr>
          <w:rFonts w:ascii="Times New Roman" w:hAnsi="Times New Roman"/>
          <w:sz w:val="20"/>
        </w:rPr>
        <w:t xml:space="preserve"> shall, with respect to the matters referenced herein, supersede any provision herein to the contrary.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Supernus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SUPERNUS PHARMACEUTICALS,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A. Khattar</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Jack A. Khattar</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INDIVIOR PHARMACEUTICALS,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Ryan Preblick</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ARTEMIS MERGER SUB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Ryan Preblick</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Indivior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Supernus Pharmaceuticals, Inc., a Delaware corporation (“</w:t>
      </w:r>
      <w:r>
        <w:rPr>
          <w:rFonts w:ascii="Times New Roman" w:hAnsi="Times New Roman"/>
          <w:b/>
          <w:sz w:val="20"/>
        </w:rPr>
        <w:t>Supernus</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Indivior Pharmaceuticals, Inc., a Delaware corporation (“</w:t>
      </w:r>
      <w:r>
        <w:rPr>
          <w:rFonts w:ascii="Times New Roman" w:hAnsi="Times New Roman"/>
          <w:b/>
          <w:sz w:val="20"/>
        </w:rPr>
        <w:t>Indivior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Indivior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Indivior Share Issuance, and (B)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Indivior Share Issuance.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Supernus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Indivior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Indivior.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Supernus</w:t>
      </w:r>
      <w:r>
        <w:rPr>
          <w:rFonts w:ascii="Times New Roman" w:hAnsi="Times New Roman"/>
          <w:sz w:val="20"/>
        </w:rPr>
        <w:t xml:space="preserve">. The Stockholder understands and acknowledges that Supernus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Supernus</w:t>
      </w:r>
      <w:r>
        <w:rPr>
          <w:rFonts w:ascii="Times New Roman" w:hAnsi="Times New Roman"/>
          <w:sz w:val="20"/>
        </w:rPr>
        <w:t xml:space="preserve">. Supernus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Supernus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Supernus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SHARES, INDIVIOR PSUS, INDIVIOR RSUS AND INDIVIOR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4"/>
        <w:gridCol w:w="789"/>
        <w:gridCol w:w="845"/>
        <w:gridCol w:w="789"/>
        <w:gridCol w:w="1130"/>
        <w:gridCol w:w="789"/>
        <w:gridCol w:w="1130"/>
        <w:gridCol w:w="789"/>
        <w:gridCol w:w="1130"/>
        <w:gridCol w:w="789"/>
        <w:gridCol w:w="711"/>
      </w:tblGrid>
      <w:tr>
        <w:trPr/>
        <w:tc>
          <w:tcPr>
            <w:tcW w:w="1314"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3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789" w:type="dxa"/>
            <w:tcBorders/>
            <w:vAlign w:val="bottom"/>
          </w:tcPr>
          <w:p>
            <w:pPr>
              <w:pStyle w:val="TableContents"/>
              <w:bidi w:val="0"/>
              <w:spacing w:before="0" w:after="283"/>
              <w:jc w:val="left"/>
              <w:rPr/>
            </w:pPr>
            <w:r>
              <w:rPr/>
              <w:t>  </w:t>
            </w:r>
          </w:p>
        </w:tc>
        <w:tc>
          <w:tcPr>
            <w:tcW w:w="845"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PSUs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RSUs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ESPP</w:t>
              <w:br/>
              <w:t>Purchase</w:t>
              <w:br/>
              <w:t>Rights</w:t>
            </w:r>
          </w:p>
        </w:tc>
        <w:tc>
          <w:tcPr>
            <w:tcW w:w="789" w:type="dxa"/>
            <w:tcBorders/>
            <w:vAlign w:val="bottom"/>
          </w:tcPr>
          <w:p>
            <w:pPr>
              <w:pStyle w:val="TableContents"/>
              <w:bidi w:val="0"/>
              <w:spacing w:before="0" w:after="283"/>
              <w:jc w:val="left"/>
              <w:rPr/>
            </w:pPr>
            <w:r>
              <w:rPr/>
              <w:t>  </w:t>
            </w:r>
          </w:p>
        </w:tc>
        <w:tc>
          <w:tcPr>
            <w:tcW w:w="711" w:type="dxa"/>
            <w:tcBorders>
              <w:bottom w:val="single" w:sz="8" w:space="0" w:color="000000"/>
            </w:tcBorders>
            <w:tcMar>
              <w:bottom w:w="28" w:type="dxa"/>
            </w:tcMar>
            <w:vAlign w:val="bottom"/>
          </w:tcPr>
          <w:p>
            <w:pPr>
              <w:pStyle w:val="TableContents"/>
              <w:bidi w:val="0"/>
              <w:spacing w:before="0" w:after="283"/>
              <w:jc w:val="center"/>
              <w:rPr>
                <w:b/>
              </w:rPr>
            </w:pPr>
            <w:r>
              <w:rPr>
                <w:b/>
              </w:rPr>
              <w:t>Total</w:t>
              <w:br/>
              <w:t>Shares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[Schedule A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Supernus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Indivior Pharmaceuticals, Inc., a Delaware corporation (“</w:t>
      </w:r>
      <w:r>
        <w:rPr>
          <w:rFonts w:ascii="Times New Roman" w:hAnsi="Times New Roman"/>
          <w:b/>
          <w:sz w:val="20"/>
        </w:rPr>
        <w:t>Indivior</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Supernus Pharmaceuticals, Inc., a Delaware corporation (“</w:t>
      </w:r>
      <w:r>
        <w:rPr>
          <w:rFonts w:ascii="Times New Roman" w:hAnsi="Times New Roman"/>
          <w:b/>
          <w:sz w:val="20"/>
        </w:rPr>
        <w:t>Supernus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Supernus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the Merger, (B) the adoption and approval of the Merger Agreement and the terms thereof, and (C)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Indivior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Supernus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Supernus.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Indivior</w:t>
      </w:r>
      <w:r>
        <w:rPr>
          <w:rFonts w:ascii="Times New Roman" w:hAnsi="Times New Roman"/>
          <w:sz w:val="20"/>
        </w:rPr>
        <w:t xml:space="preserve">. The Stockholder understands and acknowledges that Indivior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Indivior</w:t>
      </w:r>
      <w:r>
        <w:rPr>
          <w:rFonts w:ascii="Times New Roman" w:hAnsi="Times New Roman"/>
          <w:sz w:val="20"/>
        </w:rPr>
        <w:t xml:space="preserve">. Indivior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Supernus or its counsel to notify Supernus’ transfer agent that there is a stop transfer order with respect to all of the Supernus Shares of the Stockholder (and that this Agreement places limits on the voting and transfer of such Supernus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120" w:after="0"/>
        <w:jc w:val="left"/>
        <w:rPr>
          <w:rFonts w:ascii="Times New Roman" w:hAnsi="Times New Roman"/>
          <w:sz w:val="20"/>
        </w:rPr>
      </w:pPr>
      <w:r>
        <w:rPr>
          <w:rFonts w:ascii="Times New Roman" w:hAnsi="Times New Roman"/>
          <w:sz w:val="20"/>
          <w:u w:val="single"/>
        </w:rPr>
        <w:t>Notices to Indivior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3025 John F Kennedy Blvd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tbl>
      <w:tblPr>
        <w:tblW w:w="5000" w:type="pct"/>
        <w:jc w:val="left"/>
        <w:tblInd w:w="0" w:type="dxa"/>
        <w:tblLayout w:type="fixed"/>
        <w:tblCellMar>
          <w:top w:w="0" w:type="dxa"/>
          <w:left w:w="0" w:type="dxa"/>
          <w:bottom w:w="0" w:type="dxa"/>
          <w:right w:w="0" w:type="dxa"/>
        </w:tblCellMar>
      </w:tblPr>
      <w:tblGrid>
        <w:gridCol w:w="404"/>
        <w:gridCol w:w="909"/>
        <w:gridCol w:w="8892"/>
      </w:tblGrid>
      <w:tr>
        <w:trPr/>
        <w:tc>
          <w:tcPr>
            <w:tcW w:w="404" w:type="dxa"/>
            <w:tcBorders/>
            <w:vAlign w:val="center"/>
          </w:tcPr>
          <w:p>
            <w:pPr>
              <w:pStyle w:val="TableContents"/>
              <w:bidi w:val="0"/>
              <w:spacing w:before="0" w:after="283"/>
              <w:jc w:val="left"/>
              <w:rPr/>
            </w:pPr>
            <w:r>
              <w:rPr/>
              <w:t> </w:t>
            </w:r>
          </w:p>
        </w:tc>
        <w:tc>
          <w:tcPr>
            <w:tcW w:w="909" w:type="dxa"/>
            <w:tcBorders/>
          </w:tcPr>
          <w:p>
            <w:pPr>
              <w:pStyle w:val="TableContents"/>
              <w:bidi w:val="0"/>
              <w:spacing w:before="0" w:after="283"/>
              <w:jc w:val="left"/>
              <w:rPr/>
            </w:pPr>
            <w:r>
              <w:rPr/>
              <w:t>Attention:</w:t>
            </w:r>
          </w:p>
        </w:tc>
        <w:tc>
          <w:tcPr>
            <w:tcW w:w="8892" w:type="dxa"/>
            <w:tcBorders/>
          </w:tcPr>
          <w:p>
            <w:pPr>
              <w:pStyle w:val="TableContents"/>
              <w:bidi w:val="0"/>
              <w:spacing w:before="0" w:after="0"/>
              <w:jc w:val="left"/>
              <w:rPr/>
            </w:pPr>
            <w:r>
              <w:rPr/>
              <w:t>  </w:t>
            </w:r>
            <w:r>
              <w:rPr>
                <w:rFonts w:ascii="Times New Roman" w:hAnsi="Times New Roman"/>
                <w:sz w:val="20"/>
              </w:rPr>
              <w:t xml:space="preserve">Rachael Bushey </w:t>
            </w:r>
          </w:p>
        </w:tc>
      </w:tr>
    </w:tbl>
    <w:p>
      <w:pPr>
        <w:pStyle w:val="TextBody"/>
        <w:bidi w:val="0"/>
        <w:spacing w:before="0" w:after="0"/>
        <w:jc w:val="left"/>
        <w:rPr/>
      </w:pPr>
      <w:r>
        <w:rPr/>
        <w:t> </w:t>
      </w:r>
      <w:r>
        <w:rPr>
          <w:rFonts w:ascii="Times New Roman" w:hAnsi="Times New Roman"/>
          <w:sz w:val="20"/>
        </w:rPr>
        <w:t xml:space="preserve">Jennifer Porter </w:t>
      </w:r>
    </w:p>
    <w:p>
      <w:pPr>
        <w:pStyle w:val="TextBody"/>
        <w:bidi w:val="0"/>
        <w:spacing w:before="0" w:after="0"/>
        <w:jc w:val="left"/>
        <w:rPr/>
      </w:pPr>
      <w:r>
        <w:rPr/>
        <w:t> </w:t>
      </w:r>
      <w:r>
        <w:rPr>
          <w:rFonts w:ascii="Times New Roman" w:hAnsi="Times New Roman"/>
          <w:sz w:val="20"/>
        </w:rPr>
        <w:t xml:space="preserve">Stephanie Isaia </w:t>
      </w:r>
    </w:p>
    <w:p>
      <w:pPr>
        <w:pStyle w:val="TextBody"/>
        <w:bidi w:val="0"/>
        <w:spacing w:before="120" w:after="0"/>
        <w:jc w:val="left"/>
        <w:rPr>
          <w:rFonts w:ascii="Times New Roman" w:hAnsi="Times New Roman"/>
          <w:sz w:val="20"/>
        </w:rPr>
      </w:pPr>
      <w:r>
        <w:rPr>
          <w:rFonts w:ascii="Times New Roman" w:hAnsi="Times New Roman"/>
          <w:sz w:val="20"/>
        </w:rPr>
        <w:t xml:space="preserve">Email: RBushey@goodwinlaw.com, JPorter@goodwinlaw.com </w:t>
      </w:r>
    </w:p>
    <w:p>
      <w:pPr>
        <w:pStyle w:val="TextBody"/>
        <w:bidi w:val="0"/>
        <w:spacing w:before="0" w:after="0"/>
        <w:jc w:val="left"/>
        <w:rPr>
          <w:rFonts w:ascii="Times New Roman" w:hAnsi="Times New Roman"/>
          <w:sz w:val="20"/>
        </w:rPr>
      </w:pPr>
      <w:r>
        <w:rPr>
          <w:rFonts w:ascii="Times New Roman" w:hAnsi="Times New Roman"/>
          <w:sz w:val="20"/>
        </w:rPr>
        <w:t xml:space="preserve">SIsaia@goodwinlaw.com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Indivior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79"/>
        <w:gridCol w:w="153"/>
        <w:gridCol w:w="2150"/>
      </w:tblGrid>
      <w:tr>
        <w:trPr/>
        <w:tc>
          <w:tcPr>
            <w:tcW w:w="177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1779" w:type="dxa"/>
            <w:tcBorders/>
          </w:tcPr>
          <w:p>
            <w:pPr>
              <w:pStyle w:val="TableContents"/>
              <w:bidi w:val="0"/>
              <w:spacing w:before="0" w:after="283"/>
              <w:jc w:val="left"/>
              <w:rPr/>
            </w:pPr>
            <w:r>
              <w:rPr/>
              <w:t>[Name]</w:t>
            </w:r>
          </w:p>
        </w:tc>
        <w:tc>
          <w:tcPr>
            <w:tcW w:w="153" w:type="dxa"/>
            <w:tcBorders/>
            <w:vAlign w:val="bottom"/>
          </w:tcPr>
          <w:p>
            <w:pPr>
              <w:pStyle w:val="TableContents"/>
              <w:bidi w:val="0"/>
              <w:spacing w:before="0" w:after="283"/>
              <w:jc w:val="left"/>
              <w:rPr/>
            </w:pPr>
            <w:r>
              <w:rPr/>
              <w:t> </w:t>
            </w:r>
          </w:p>
        </w:tc>
        <w:tc>
          <w:tcPr>
            <w:tcW w:w="21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Supernus Shares, Supernus Options, Supernus RSUs, Supernus PSUs and Supernus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5"/>
        <w:gridCol w:w="187"/>
        <w:gridCol w:w="1397"/>
        <w:gridCol w:w="103"/>
        <w:gridCol w:w="1519"/>
        <w:gridCol w:w="461"/>
        <w:gridCol w:w="1179"/>
        <w:gridCol w:w="121"/>
        <w:gridCol w:w="1179"/>
        <w:gridCol w:w="121"/>
        <w:gridCol w:w="1179"/>
        <w:gridCol w:w="121"/>
        <w:gridCol w:w="1093"/>
      </w:tblGrid>
      <w:tr>
        <w:trPr/>
        <w:tc>
          <w:tcPr>
            <w:tcW w:w="154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187"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c>
          <w:tcPr>
            <w:tcW w:w="103" w:type="dxa"/>
            <w:tcBorders/>
            <w:vAlign w:val="bottom"/>
          </w:tcPr>
          <w:p>
            <w:pPr>
              <w:pStyle w:val="TableContents"/>
              <w:bidi w:val="0"/>
              <w:spacing w:before="0" w:after="283"/>
              <w:jc w:val="left"/>
              <w:rPr/>
            </w:pPr>
            <w:r>
              <w:rPr/>
              <w:t> </w:t>
            </w:r>
          </w:p>
        </w:tc>
        <w:tc>
          <w:tcPr>
            <w:tcW w:w="15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underlying</w:t>
            </w:r>
          </w:p>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Options</w:t>
            </w:r>
          </w:p>
        </w:tc>
        <w:tc>
          <w:tcPr>
            <w:tcW w:w="46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RSUs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PSUs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0"/>
              <w:jc w:val="center"/>
              <w:rPr>
                <w:rFonts w:ascii="Times New Roman" w:hAnsi="Times New Roman"/>
                <w:b/>
                <w:sz w:val="16"/>
              </w:rPr>
            </w:pPr>
            <w:r>
              <w:rPr>
                <w:rFonts w:ascii="Times New Roman" w:hAnsi="Times New Roman"/>
                <w:b/>
                <w:sz w:val="16"/>
              </w:rPr>
              <w:t>ESPP</w:t>
            </w:r>
          </w:p>
          <w:p>
            <w:pPr>
              <w:pStyle w:val="TableContents"/>
              <w:bidi w:val="0"/>
              <w:spacing w:before="0" w:after="0"/>
              <w:jc w:val="center"/>
              <w:rPr>
                <w:rFonts w:ascii="Times New Roman" w:hAnsi="Times New Roman"/>
                <w:b/>
                <w:sz w:val="16"/>
              </w:rPr>
            </w:pPr>
            <w:r>
              <w:rPr>
                <w:rFonts w:ascii="Times New Roman" w:hAnsi="Times New Roman"/>
                <w:b/>
                <w:sz w:val="16"/>
              </w:rPr>
              <w:t>Purchase</w:t>
            </w:r>
          </w:p>
          <w:p>
            <w:pPr>
              <w:pStyle w:val="TableContents"/>
              <w:bidi w:val="0"/>
              <w:spacing w:before="0" w:after="20"/>
              <w:jc w:val="center"/>
              <w:rPr>
                <w:rFonts w:ascii="Times New Roman" w:hAnsi="Times New Roman"/>
                <w:b/>
                <w:sz w:val="16"/>
              </w:rPr>
            </w:pPr>
            <w:r>
              <w:rPr>
                <w:rFonts w:ascii="Times New Roman" w:hAnsi="Times New Roman"/>
                <w:b/>
                <w:sz w:val="16"/>
              </w:rPr>
              <w:t>Rights</w:t>
            </w:r>
          </w:p>
        </w:tc>
        <w:tc>
          <w:tcPr>
            <w:tcW w:w="121" w:type="dxa"/>
            <w:tcBorders/>
            <w:vAlign w:val="bottom"/>
          </w:tcPr>
          <w:p>
            <w:pPr>
              <w:pStyle w:val="TableContents"/>
              <w:bidi w:val="0"/>
              <w:spacing w:before="0" w:after="283"/>
              <w:jc w:val="left"/>
              <w:rPr/>
            </w:pPr>
            <w:r>
              <w:rPr/>
              <w:t>  </w:t>
            </w:r>
          </w:p>
        </w:tc>
        <w:tc>
          <w:tcPr>
            <w:tcW w:w="109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Dividend Payment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DIVIDEND PAYMENT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TRUST COMPANY, N.A., as Rights Agent </w:t>
      </w:r>
    </w:p>
    <w:p>
      <w:pPr>
        <w:pStyle w:val="TextBody"/>
        <w:bidi w:val="0"/>
        <w:spacing w:before="240" w:after="0"/>
        <w:jc w:val="center"/>
        <w:rPr>
          <w:rFonts w:ascii="Times New Roman" w:hAnsi="Times New Roman"/>
          <w:sz w:val="20"/>
        </w:rPr>
      </w:pPr>
      <w:r>
        <w:rPr>
          <w:rFonts w:ascii="Times New Roman" w:hAnsi="Times New Roman"/>
          <w:b/>
          <w:sz w:val="20"/>
        </w:rPr>
        <w:t>Dated as of [</w:t>
      </w:r>
      <w:r>
        <w:rPr>
          <w:rFonts w:ascii="Times New Roman" w:hAnsi="Times New Roman"/>
          <w:sz w:val="20"/>
        </w:rPr>
        <w:t>●</w:t>
      </w:r>
      <w:r>
        <w:rPr>
          <w:rFonts w:ascii="Times New Roman" w:hAnsi="Times New Roman"/>
          <w:b/>
          <w:sz w:val="20"/>
        </w:rPr>
        <w:t xml:space="preserve">],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tbl>
      <w:tblPr>
        <w:tblW w:w="5000" w:type="pct"/>
        <w:jc w:val="center"/>
        <w:tblInd w:w="0" w:type="dxa"/>
        <w:tblLayout w:type="fixed"/>
        <w:tblCellMar>
          <w:top w:w="0" w:type="dxa"/>
          <w:left w:w="0" w:type="dxa"/>
          <w:bottom w:w="0" w:type="dxa"/>
          <w:right w:w="0" w:type="dxa"/>
        </w:tblCellMar>
      </w:tblPr>
      <w:tblGrid>
        <w:gridCol w:w="59"/>
        <w:gridCol w:w="170"/>
        <w:gridCol w:w="1639"/>
        <w:gridCol w:w="170"/>
        <w:gridCol w:w="7417"/>
        <w:gridCol w:w="170"/>
        <w:gridCol w:w="96"/>
        <w:gridCol w:w="419"/>
        <w:gridCol w:w="65"/>
      </w:tblGrid>
      <w:tr>
        <w:trPr/>
        <w:tc>
          <w:tcPr>
            <w:tcW w:w="5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741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1 DEFINITIONS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1.1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Definitions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2 DIVIDEND PAYMENT RIGHTS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Holders of DPRs; Appointment of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Non-transferable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 Certificate; Registration; Registration of Transfer; Change of Address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Payment Procedures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2.5</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 Voting, Dividends or Interest; No Equity or Ownership Interest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2.6</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Ability to Abandon DPR</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3 THE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Certain Duties and Responsibilities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Certain Rights of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Resignation and Removal; Appointment of Successor</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Acceptance of Appointment by Successor</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4 COVENANTS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List of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[Reserved]</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[Reserved]</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Books and Records.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4.5</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Audits.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5 AMENDMENTS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5.1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Amendments Without Consent of Holders or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5.2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Amendments with Consent of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5.3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Effect of Amendments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6 CONSOLIDATION, MERGER, SALE OR CONVEYANCE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6.1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The Company May Not Consolidate, Etc</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6.2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Successor Substituted</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7 MISCELLANEOUS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Notices to Rights Agent and to the Company</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Notice to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Entire Agreement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Merger or Consolidation or Change of Name of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7.5</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Successors and Assigns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7.6</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Benefits of Agreement; Action by Majority of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7.7</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Governing Law</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7.8</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Jurisdiction</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7.9</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b/>
              </w:rPr>
            </w:pPr>
            <w:r>
              <w:rPr>
                <w:b/>
              </w:rPr>
              <w:t>WAIVER OF JURY TRIAL</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7.10</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Severability Clause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9"/>
        <w:gridCol w:w="162"/>
        <w:gridCol w:w="1555"/>
        <w:gridCol w:w="162"/>
        <w:gridCol w:w="7437"/>
        <w:gridCol w:w="162"/>
        <w:gridCol w:w="60"/>
        <w:gridCol w:w="262"/>
        <w:gridCol w:w="66"/>
      </w:tblGrid>
      <w:tr>
        <w:trPr/>
        <w:tc>
          <w:tcPr>
            <w:tcW w:w="33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43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717" w:type="dxa"/>
            <w:gridSpan w:val="2"/>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left"/>
              <w:rPr/>
            </w:pPr>
            <w:r>
              <w:rPr/>
              <w:t>Section 7.11</w:t>
            </w:r>
          </w:p>
        </w:tc>
        <w:tc>
          <w:tcPr>
            <w:tcW w:w="162"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Counterparts; Effectiveness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717" w:type="dxa"/>
            <w:gridSpan w:val="2"/>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left"/>
              <w:rPr/>
            </w:pPr>
            <w:r>
              <w:rPr/>
              <w:t>Section 7.12</w:t>
            </w:r>
          </w:p>
        </w:tc>
        <w:tc>
          <w:tcPr>
            <w:tcW w:w="162"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Termination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9316" w:type="dxa"/>
            <w:gridSpan w:val="4"/>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9154" w:type="dxa"/>
            <w:gridSpan w:val="3"/>
            <w:tcBorders/>
            <w:vAlign w:val="bottom"/>
          </w:tcPr>
          <w:p>
            <w:pPr>
              <w:pStyle w:val="TableContents"/>
              <w:bidi w:val="0"/>
              <w:spacing w:before="0" w:after="283"/>
              <w:jc w:val="left"/>
              <w:rPr/>
            </w:pPr>
            <w:r>
              <w:rPr/>
              <w:t>This Agreement will automatically terminate and be of no further force or effect and, except as provided in Section 3.2, the parties hereto will have no further liability hereunder upon the expiration of the DPR Period.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717" w:type="dxa"/>
            <w:gridSpan w:val="2"/>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left"/>
              <w:rPr/>
            </w:pPr>
            <w:r>
              <w:rPr/>
              <w:t>Section 7.13</w:t>
            </w:r>
          </w:p>
        </w:tc>
        <w:tc>
          <w:tcPr>
            <w:tcW w:w="162"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Construction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18</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DIVIDEND PAYMENT RIGHTS AGREEMENT </w:t>
      </w:r>
    </w:p>
    <w:p>
      <w:pPr>
        <w:pStyle w:val="TextBody"/>
        <w:bidi w:val="0"/>
        <w:spacing w:before="240" w:after="0"/>
        <w:jc w:val="left"/>
        <w:rPr>
          <w:rFonts w:ascii="Times New Roman" w:hAnsi="Times New Roman"/>
          <w:sz w:val="20"/>
        </w:rPr>
      </w:pPr>
      <w:r>
        <w:rPr>
          <w:rFonts w:ascii="Times New Roman" w:hAnsi="Times New Roman"/>
          <w:b/>
          <w:sz w:val="20"/>
        </w:rPr>
        <w:t>THIS DIVIDEND PAYMENT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 2026, is entered into by and between Indivior Pharmaceuticals, Inc., a Delaware corporation (the “</w:t>
      </w:r>
      <w:r>
        <w:rPr>
          <w:rFonts w:ascii="Times New Roman" w:hAnsi="Times New Roman"/>
          <w:b/>
          <w:sz w:val="20"/>
        </w:rPr>
        <w:t>Company</w:t>
      </w:r>
      <w:r>
        <w:rPr>
          <w:rFonts w:ascii="Times New Roman" w:hAnsi="Times New Roman"/>
          <w:sz w:val="20"/>
        </w:rPr>
        <w:t>”), and Computershare Trust Company, N.A., a [●] (“</w:t>
      </w:r>
      <w:r>
        <w:rPr>
          <w:rFonts w:ascii="Times New Roman" w:hAnsi="Times New Roman"/>
          <w:b/>
          <w:sz w:val="20"/>
        </w:rPr>
        <w:t>Computershare</w:t>
      </w:r>
      <w:r>
        <w:rPr>
          <w:rFonts w:ascii="Times New Roman" w:hAnsi="Times New Roman"/>
          <w:sz w:val="20"/>
        </w:rPr>
        <w:t xml:space="preserve">”), as initial Rights Agent (as defined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PREAMBLE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Artemis Merger Sub Inc., a Delaware corporation and wholly owned subsidiary of the Company (“</w:t>
      </w:r>
      <w:r>
        <w:rPr>
          <w:rFonts w:ascii="Times New Roman" w:hAnsi="Times New Roman"/>
          <w:b/>
          <w:sz w:val="20"/>
        </w:rPr>
        <w:t>Merger Sub</w:t>
      </w:r>
      <w:r>
        <w:rPr>
          <w:rFonts w:ascii="Times New Roman" w:hAnsi="Times New Roman"/>
          <w:sz w:val="20"/>
        </w:rPr>
        <w:t>”), and Supernus Pharmaceuticals, Inc., a Delaware corporation (“</w:t>
      </w:r>
      <w:r>
        <w:rPr>
          <w:rFonts w:ascii="Times New Roman" w:hAnsi="Times New Roman"/>
          <w:b/>
          <w:sz w:val="20"/>
        </w:rPr>
        <w:t>Supernus</w:t>
      </w:r>
      <w:r>
        <w:rPr>
          <w:rFonts w:ascii="Times New Roman" w:hAnsi="Times New Roman"/>
          <w:sz w:val="20"/>
        </w:rPr>
        <w:t>”), have entered into an Agreement and Plan of Merger, dated as of August 1, 2026 (the “</w:t>
      </w:r>
      <w:r>
        <w:rPr>
          <w:rFonts w:ascii="Times New Roman" w:hAnsi="Times New Roman"/>
          <w:b/>
          <w:sz w:val="20"/>
        </w:rPr>
        <w:t>Merger Agreement</w:t>
      </w:r>
      <w:r>
        <w:rPr>
          <w:rFonts w:ascii="Times New Roman" w:hAnsi="Times New Roman"/>
          <w:sz w:val="20"/>
        </w:rPr>
        <w:t>”), pursuant to which Merger Sub will merge with and into Supernus (the “</w:t>
      </w:r>
      <w:r>
        <w:rPr>
          <w:rFonts w:ascii="Times New Roman" w:hAnsi="Times New Roman"/>
          <w:b/>
          <w:sz w:val="20"/>
        </w:rPr>
        <w:t>Merger</w:t>
      </w:r>
      <w:r>
        <w:rPr>
          <w:rFonts w:ascii="Times New Roman" w:hAnsi="Times New Roman"/>
          <w:sz w:val="20"/>
        </w:rPr>
        <w:t>”), with Supernus surviving the Merger as a wholly owned subsidiary of the Company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Capitalized terms used but not otherwise defined herein have the meanings ascribed thereto in the Merger Agreement. The following terms have the meanings ascribed to them as follows: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is not a Saturday, a Sunday or a day on which banks are closed in New York, New York.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Merger.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$0.001 par value,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DPR</w:t>
      </w:r>
      <w:r>
        <w:rPr>
          <w:rFonts w:ascii="Times New Roman" w:hAnsi="Times New Roman"/>
          <w:sz w:val="20"/>
        </w:rPr>
        <w:t xml:space="preserve">” means a contingent contractual right of Holders to receive the DPR Payment under the Merger Agreement and this Agreement in the event of the Alternative Dividend Scenario. </w:t>
      </w:r>
    </w:p>
    <w:p>
      <w:pPr>
        <w:pStyle w:val="TextBody"/>
        <w:bidi w:val="0"/>
        <w:spacing w:before="240" w:after="0"/>
        <w:jc w:val="left"/>
        <w:rPr/>
      </w:pPr>
      <w:r>
        <w:rPr/>
        <w:t>“</w:t>
      </w:r>
      <w:r>
        <w:rPr>
          <w:rFonts w:ascii="Times New Roman" w:hAnsi="Times New Roman"/>
          <w:b/>
          <w:sz w:val="20"/>
        </w:rPr>
        <w:t>DPR Payment</w:t>
      </w:r>
      <w:r>
        <w:rPr>
          <w:rFonts w:ascii="Times New Roman" w:hAnsi="Times New Roman"/>
          <w:sz w:val="20"/>
        </w:rPr>
        <w:t xml:space="preserve">” means, in the event of the Alternative Dividend Scenario, $529,500,000.00. </w:t>
      </w:r>
    </w:p>
    <w:p>
      <w:pPr>
        <w:pStyle w:val="TextBody"/>
        <w:bidi w:val="0"/>
        <w:spacing w:before="240" w:after="0"/>
        <w:jc w:val="left"/>
        <w:rPr/>
      </w:pPr>
      <w:r>
        <w:rPr/>
        <w:t>“</w:t>
      </w:r>
      <w:r>
        <w:rPr>
          <w:rFonts w:ascii="Times New Roman" w:hAnsi="Times New Roman"/>
          <w:b/>
          <w:sz w:val="20"/>
        </w:rPr>
        <w:t>DPR Period</w:t>
      </w:r>
      <w:r>
        <w:rPr>
          <w:rFonts w:ascii="Times New Roman" w:hAnsi="Times New Roman"/>
          <w:sz w:val="20"/>
        </w:rPr>
        <w:t xml:space="preserve">” means the period beginning immediately following the Effective Time and ending on the earlier of (i) the first (1st) anniversary of the Closing Date and (ii) the DPR Payment Date. </w:t>
      </w:r>
    </w:p>
    <w:p>
      <w:pPr>
        <w:pStyle w:val="TextBody"/>
        <w:bidi w:val="0"/>
        <w:spacing w:before="240" w:after="0"/>
        <w:jc w:val="left"/>
        <w:rPr/>
      </w:pPr>
      <w:r>
        <w:rPr/>
        <w:t>“</w:t>
      </w:r>
      <w:r>
        <w:rPr>
          <w:rFonts w:ascii="Times New Roman" w:hAnsi="Times New Roman"/>
          <w:b/>
          <w:sz w:val="20"/>
        </w:rPr>
        <w:t>DPR Payment Date</w:t>
      </w:r>
      <w:r>
        <w:rPr>
          <w:rFonts w:ascii="Times New Roman" w:hAnsi="Times New Roman"/>
          <w:sz w:val="20"/>
        </w:rPr>
        <w:t xml:space="preserve">” shall mean the date that is the first (1st) anniversary of the Closing Date and or an earlier date as determined by the Board of Directors. </w:t>
      </w:r>
    </w:p>
    <w:p>
      <w:pPr>
        <w:pStyle w:val="TextBody"/>
        <w:bidi w:val="0"/>
        <w:spacing w:before="240" w:after="0"/>
        <w:jc w:val="left"/>
        <w:rPr/>
      </w:pPr>
      <w:r>
        <w:rPr/>
        <w:t>“</w:t>
      </w:r>
      <w:r>
        <w:rPr>
          <w:rFonts w:ascii="Times New Roman" w:hAnsi="Times New Roman"/>
          <w:b/>
          <w:sz w:val="20"/>
        </w:rPr>
        <w:t>DPR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DPRs are registered in the DPR Register. </w:t>
      </w:r>
    </w:p>
    <w:p>
      <w:pPr>
        <w:pStyle w:val="TextBody"/>
        <w:bidi w:val="0"/>
        <w:spacing w:before="240" w:after="0"/>
        <w:jc w:val="left"/>
        <w:rPr/>
      </w:pPr>
      <w:r>
        <w:rPr/>
        <w:t>“</w:t>
      </w:r>
      <w:r>
        <w:rPr>
          <w:rFonts w:ascii="Times New Roman" w:hAnsi="Times New Roman"/>
          <w:b/>
          <w:sz w:val="20"/>
        </w:rPr>
        <w:t>Majority of Holders</w:t>
      </w:r>
      <w:r>
        <w:rPr>
          <w:rFonts w:ascii="Times New Roman" w:hAnsi="Times New Roman"/>
          <w:sz w:val="20"/>
        </w:rPr>
        <w:t xml:space="preserve">” means, at any time, the registered Holder or Holders of more than 35% of the total number of DPRs registered at such time, as set forth on the DPR Register.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or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one or more DPRs (i) upon death of a Holder by will or intestacy; (ii) by instrument to an </w:t>
      </w:r>
      <w:r>
        <w:rPr>
          <w:rFonts w:ascii="Times New Roman" w:hAnsi="Times New Roman"/>
          <w:i/>
          <w:sz w:val="20"/>
        </w:rPr>
        <w:t>inter vivos</w:t>
      </w:r>
      <w:r>
        <w:rPr>
          <w:rFonts w:ascii="Times New Roman" w:hAnsi="Times New Roman"/>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means the Special Dividend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shall have been appointed pursuant to </w:t>
      </w:r>
      <w:r>
        <w:rPr>
          <w:rFonts w:ascii="Times New Roman" w:hAnsi="Times New Roman"/>
          <w:sz w:val="20"/>
          <w:u w:val="single"/>
        </w:rPr>
        <w:t>Article 3</w:t>
      </w:r>
      <w:r>
        <w:rPr>
          <w:rFonts w:ascii="Times New Roman" w:hAnsi="Times New Roman"/>
          <w:sz w:val="20"/>
        </w:rPr>
        <w:t xml:space="preserve">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DIVIDEND PAYMENT RIGHTS </w:t>
      </w:r>
    </w:p>
    <w:p>
      <w:pPr>
        <w:pStyle w:val="TextBody"/>
        <w:bidi w:val="0"/>
        <w:spacing w:before="240" w:after="0"/>
        <w:jc w:val="left"/>
        <w:rPr>
          <w:rFonts w:ascii="Times New Roman" w:hAnsi="Times New Roman"/>
          <w:sz w:val="20"/>
        </w:rPr>
      </w:pPr>
      <w:r>
        <w:rPr>
          <w:rFonts w:ascii="Times New Roman" w:hAnsi="Times New Roman"/>
          <w:sz w:val="20"/>
        </w:rPr>
        <w:t>Section 2.1 </w:t>
      </w:r>
      <w:r>
        <w:rPr>
          <w:rFonts w:ascii="Times New Roman" w:hAnsi="Times New Roman"/>
          <w:sz w:val="20"/>
          <w:u w:val="single"/>
        </w:rPr>
        <w:t>Holders of DPRs;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DPRs shall be issued to the holders of shares of Common Stock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360" w:after="0"/>
        <w:jc w:val="left"/>
        <w:rPr>
          <w:rFonts w:ascii="Times New Roman" w:hAnsi="Times New Roman"/>
          <w:sz w:val="20"/>
        </w:rPr>
      </w:pPr>
      <w:r>
        <w:rPr>
          <w:rFonts w:ascii="Times New Roman" w:hAnsi="Times New Roman"/>
          <w:sz w:val="20"/>
        </w:rPr>
        <w:t>Section 2.2 </w:t>
      </w:r>
      <w:r>
        <w:rPr>
          <w:rFonts w:ascii="Times New Roman" w:hAnsi="Times New Roman"/>
          <w:sz w:val="20"/>
          <w:u w:val="single"/>
        </w:rPr>
        <w:t>Non-transferable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 may not at any time Transfer DPRs, other than pursuant to a Permitted Transfer. Any attempted Transfer that is not a Permitted Transfer, in whole or in part, will be void </w:t>
      </w:r>
      <w:r>
        <w:rPr>
          <w:rFonts w:ascii="Times New Roman" w:hAnsi="Times New Roman"/>
          <w:i/>
          <w:sz w:val="20"/>
        </w:rPr>
        <w:t>ab initio</w:t>
      </w:r>
      <w:r>
        <w:rPr>
          <w:rFonts w:ascii="Times New Roman" w:hAnsi="Times New Roman"/>
          <w:sz w:val="20"/>
        </w:rPr>
        <w:t xml:space="preserve"> and of no effect. The DPRs will not be listed on any quotation system or traded on any securities exchange. </w:t>
      </w:r>
    </w:p>
    <w:p>
      <w:pPr>
        <w:pStyle w:val="TextBody"/>
        <w:bidi w:val="0"/>
        <w:spacing w:before="360" w:after="0"/>
        <w:jc w:val="left"/>
        <w:rPr>
          <w:rFonts w:ascii="Times New Roman" w:hAnsi="Times New Roman"/>
          <w:sz w:val="20"/>
        </w:rPr>
      </w:pPr>
      <w:r>
        <w:rPr>
          <w:rFonts w:ascii="Times New Roman" w:hAnsi="Times New Roman"/>
          <w:sz w:val="20"/>
        </w:rPr>
        <w:t>Section 2.3 </w:t>
      </w:r>
      <w:r>
        <w:rPr>
          <w:rFonts w:ascii="Times New Roman" w:hAnsi="Times New Roman"/>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(a) Holders’ rights and obligations in respect of DPRs derive solely from this Agreement; DPRs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will maintain an up-to-date register (the “</w:t>
      </w:r>
      <w:r>
        <w:rPr>
          <w:rFonts w:ascii="Times New Roman" w:hAnsi="Times New Roman"/>
          <w:b/>
          <w:sz w:val="20"/>
        </w:rPr>
        <w:t>DPR Register</w:t>
      </w:r>
      <w:r>
        <w:rPr>
          <w:rFonts w:ascii="Times New Roman" w:hAnsi="Times New Roman"/>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the rights of the Rights Agent, neither the Company nor its Subsidiaries will have any responsibility or liability whatsoever to any person other than the Holders.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 on transferability set forth in </w:t>
      </w:r>
      <w:r>
        <w:rPr>
          <w:rFonts w:ascii="Times New Roman" w:hAnsi="Times New Roman"/>
          <w:sz w:val="20"/>
          <w:u w:val="single"/>
        </w:rPr>
        <w:t>Section 2.2</w:t>
      </w:r>
      <w:r>
        <w:rPr>
          <w:rFonts w:ascii="Times New Roman" w:hAnsi="Times New Roman"/>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before="360" w:after="0"/>
        <w:jc w:val="left"/>
        <w:rPr>
          <w:rFonts w:ascii="Times New Roman" w:hAnsi="Times New Roman"/>
          <w:sz w:val="20"/>
        </w:rPr>
      </w:pPr>
      <w:r>
        <w:rPr>
          <w:rFonts w:ascii="Times New Roman" w:hAnsi="Times New Roman"/>
          <w:sz w:val="20"/>
        </w:rPr>
        <w:t>Section 2.4 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 w:hAnsi="Times New Roman"/>
          <w:b/>
          <w:sz w:val="20"/>
        </w:rPr>
        <w:t>Code</w:t>
      </w:r>
      <w:r>
        <w:rPr>
          <w:rFonts w:ascii="Times New Roman" w:hAnsi="Times New Roman"/>
          <w:sz w:val="20"/>
        </w:rPr>
        <w:t xml:space="preserve">”), which will constitute a dividend to the extent payable out of the Company and its Subsidiaries’ current and accumulated “earnings and profits” (pursuant to Section 316 of the Code) in the taxable year in which any such DPR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hAnsi="Times New Roman"/>
          <w:i/>
          <w:sz w:val="20"/>
          <w:u w:val="single"/>
        </w:rPr>
        <w:t>provided</w:t>
      </w:r>
      <w:r>
        <w:rPr>
          <w:rFonts w:ascii="Times New Roman" w:hAnsi="Times New Roman"/>
          <w:sz w:val="20"/>
        </w:rPr>
        <w:t xml:space="preserve"> that the time period for payment of the DPR Payment by the Rights Agent set forth in </w:t>
      </w:r>
      <w:r>
        <w:rPr>
          <w:rFonts w:ascii="Times New Roman" w:hAnsi="Times New Roman"/>
          <w:sz w:val="20"/>
          <w:u w:val="single"/>
        </w:rPr>
        <w:t>Section 2.4(a)</w:t>
      </w:r>
      <w:r>
        <w:rPr>
          <w:rFonts w:ascii="Times New Roman" w:hAnsi="Times New Roman"/>
          <w:sz w:val="20"/>
        </w:rPr>
        <w:t xml:space="preserve"> will be extended by a period equal to any delay caused by the Holder providing such forms;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2.5 </w:t>
      </w:r>
      <w:r>
        <w:rPr>
          <w:rFonts w:ascii="Times New Roman" w:hAnsi="Times New Roman"/>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(a) DPRs will not have any voting or dividend rights, and interest will not accrue on any amounts payable in respect of DPRs. </w:t>
      </w:r>
    </w:p>
    <w:p>
      <w:pPr>
        <w:pStyle w:val="TextBody"/>
        <w:bidi w:val="0"/>
        <w:spacing w:before="240" w:after="0"/>
        <w:jc w:val="left"/>
        <w:rPr>
          <w:rFonts w:ascii="Times New Roman" w:hAnsi="Times New Roman"/>
          <w:sz w:val="20"/>
        </w:rPr>
      </w:pPr>
      <w:r>
        <w:rPr>
          <w:rFonts w:ascii="Times New Roman" w:hAnsi="Times New Roman"/>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360" w:after="0"/>
        <w:jc w:val="left"/>
        <w:rPr>
          <w:rFonts w:ascii="Times New Roman" w:hAnsi="Times New Roman"/>
          <w:sz w:val="20"/>
        </w:rPr>
      </w:pPr>
      <w:r>
        <w:rPr>
          <w:rFonts w:ascii="Times New Roman" w:hAnsi="Times New Roman"/>
          <w:sz w:val="20"/>
        </w:rPr>
        <w:t>Section 2.6 </w:t>
      </w:r>
      <w:r>
        <w:rPr>
          <w:rFonts w:ascii="Times New Roman" w:hAnsi="Times New Roman"/>
          <w:sz w:val="20"/>
          <w:u w:val="single"/>
        </w:rPr>
        <w:t>Ability to Abandon DPR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sz w:val="20"/>
        </w:rPr>
        <w:t>Section 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before="360" w:after="0"/>
        <w:jc w:val="left"/>
        <w:rPr>
          <w:rFonts w:ascii="Times New Roman" w:hAnsi="Times New Roman"/>
          <w:sz w:val="20"/>
        </w:rPr>
      </w:pPr>
      <w:r>
        <w:rPr>
          <w:rFonts w:ascii="Times New Roman" w:hAnsi="Times New Roman"/>
          <w:sz w:val="20"/>
        </w:rPr>
        <w:t>Section 3.2 </w:t>
      </w:r>
      <w:r>
        <w:rPr>
          <w:rFonts w:ascii="Times New Roman" w:hAnsi="Times New Roman"/>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(d) Any permissive rights of the Rights Agent hereunder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its powers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(f) The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(g) In addition to the indemnification provided under </w:t>
      </w:r>
      <w:r>
        <w:rPr>
          <w:rFonts w:ascii="Times New Roman" w:hAnsi="Times New Roman"/>
          <w:sz w:val="20"/>
          <w:u w:val="single"/>
        </w:rPr>
        <w:t>Section 3.2(e)</w:t>
      </w:r>
      <w:r>
        <w:rPr>
          <w:rFonts w:ascii="Times New Roman" w:hAnsi="Times New Roman"/>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Section 3.2(f), if the Company is found by a court of competent jurisdiction to be liable to the Rights Agent or the Holders, as applicable in such suit. </w:t>
      </w:r>
    </w:p>
    <w:p>
      <w:pPr>
        <w:pStyle w:val="TextBody"/>
        <w:bidi w:val="0"/>
        <w:spacing w:before="240" w:after="0"/>
        <w:jc w:val="left"/>
        <w:rPr>
          <w:rFonts w:ascii="Times New Roman" w:hAnsi="Times New Roman"/>
          <w:sz w:val="20"/>
        </w:rPr>
      </w:pPr>
      <w:r>
        <w:rPr>
          <w:rFonts w:ascii="Times New Roman" w:hAnsi="Times New Roman"/>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before="240" w:after="0"/>
        <w:jc w:val="left"/>
        <w:rPr>
          <w:rFonts w:ascii="Times New Roman" w:hAnsi="Times New Roman"/>
          <w:sz w:val="20"/>
        </w:rPr>
      </w:pPr>
      <w:r>
        <w:rPr>
          <w:rFonts w:ascii="Times New Roman" w:hAnsi="Times New Roman"/>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240" w:after="0"/>
        <w:jc w:val="left"/>
        <w:rPr>
          <w:rFonts w:ascii="Times New Roman" w:hAnsi="Times New Roman"/>
          <w:sz w:val="20"/>
        </w:rPr>
      </w:pPr>
      <w:r>
        <w:rPr>
          <w:rFonts w:ascii="Times New Roman" w:hAnsi="Times New Roman"/>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before="240" w:after="0"/>
        <w:jc w:val="left"/>
        <w:rPr>
          <w:rFonts w:ascii="Times New Roman" w:hAnsi="Times New Roman"/>
          <w:sz w:val="20"/>
        </w:rPr>
      </w:pPr>
      <w:r>
        <w:rPr>
          <w:rFonts w:ascii="Times New Roman" w:hAnsi="Times New Roman"/>
          <w:sz w:val="20"/>
        </w:rPr>
        <w:t>(q) All funds received by Computershare under this Agreement that are to be distributed or applied by Computershare in the performance of services hereunder (the “</w:t>
      </w:r>
      <w:r>
        <w:rPr>
          <w:rFonts w:ascii="Times New Roman" w:hAnsi="Times New Roman"/>
          <w:b/>
          <w:sz w:val="20"/>
        </w:rPr>
        <w:t>Funds</w:t>
      </w:r>
      <w:r>
        <w:rPr>
          <w:rFonts w:ascii="Times New Roman" w:hAnsi="Times New Roman"/>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(r) The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DPRs and the termination of this Agreement and the resignation, replacement or removal of the Rights Agent. </w:t>
      </w:r>
    </w:p>
    <w:p>
      <w:pPr>
        <w:pStyle w:val="TextBody"/>
        <w:bidi w:val="0"/>
        <w:spacing w:before="360" w:after="0"/>
        <w:jc w:val="left"/>
        <w:rPr>
          <w:rFonts w:ascii="Times New Roman" w:hAnsi="Times New Roman"/>
          <w:sz w:val="20"/>
        </w:rPr>
      </w:pPr>
      <w:r>
        <w:rPr>
          <w:rFonts w:ascii="Times New Roman" w:hAnsi="Times New Roman"/>
          <w:sz w:val="20"/>
        </w:rPr>
        <w:t>Section 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or assume any additional liability in connection with the foregoing without compensation or reimbursement by the Company. </w:t>
      </w:r>
    </w:p>
    <w:p>
      <w:pPr>
        <w:pStyle w:val="TextBody"/>
        <w:bidi w:val="0"/>
        <w:spacing w:before="360" w:after="0"/>
        <w:jc w:val="left"/>
        <w:rPr>
          <w:rFonts w:ascii="Times New Roman" w:hAnsi="Times New Roman"/>
          <w:sz w:val="20"/>
        </w:rPr>
      </w:pPr>
      <w:r>
        <w:rPr>
          <w:rFonts w:ascii="Times New Roman" w:hAnsi="Times New Roman"/>
          <w:sz w:val="20"/>
        </w:rPr>
        <w:t>Section 3.4 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u w:val="single"/>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Section 4.1 </w:t>
      </w:r>
      <w:r>
        <w:rPr>
          <w:rFonts w:ascii="Times New Roman" w:hAnsi="Times New Roman"/>
          <w:sz w:val="20"/>
          <w:u w:val="single"/>
        </w:rPr>
        <w:t>List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4.3 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4.4 </w:t>
      </w:r>
      <w:r>
        <w:rPr>
          <w:rFonts w:ascii="Times New Roman" w:hAnsi="Times New Roman"/>
          <w:sz w:val="20"/>
          <w:u w:val="single"/>
        </w:rPr>
        <w:t xml:space="preserve">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before="360" w:after="0"/>
        <w:jc w:val="left"/>
        <w:rPr>
          <w:rFonts w:ascii="Times New Roman" w:hAnsi="Times New Roman"/>
          <w:sz w:val="20"/>
        </w:rPr>
      </w:pPr>
      <w:r>
        <w:rPr>
          <w:rFonts w:ascii="Times New Roman" w:hAnsi="Times New Roman"/>
          <w:sz w:val="20"/>
        </w:rPr>
        <w:t>Section 4.5 </w:t>
      </w:r>
      <w:r>
        <w:rPr>
          <w:rFonts w:ascii="Times New Roman" w:hAnsi="Times New Roman"/>
          <w:sz w:val="20"/>
          <w:u w:val="single"/>
        </w:rPr>
        <w:t xml:space="preserve">Audits. </w:t>
      </w:r>
    </w:p>
    <w:p>
      <w:pPr>
        <w:pStyle w:val="TextBody"/>
        <w:bidi w:val="0"/>
        <w:spacing w:before="120" w:after="0"/>
        <w:jc w:val="left"/>
        <w:rPr>
          <w:rFonts w:ascii="Times New Roman" w:hAnsi="Times New Roman"/>
          <w:sz w:val="20"/>
        </w:rPr>
      </w:pPr>
      <w:r>
        <w:rPr>
          <w:rFonts w:ascii="Times New Roman" w:hAnsi="Times New Roman"/>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Section 5.1 </w:t>
      </w:r>
      <w:r>
        <w:rPr>
          <w:rFonts w:ascii="Times New Roman" w:hAnsi="Times New Roman"/>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6.1</w:t>
      </w:r>
      <w:r>
        <w:rPr>
          <w:rFonts w:ascii="Times New Roman" w:hAnsi="Times New Roman"/>
          <w:sz w:val="20"/>
        </w:rPr>
        <w:t xml:space="preserve">, to evidence the succession of another person to the Company and the assumption of any such successor of the covenants of the Company outlined herein in a transaction contemplated by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for the protection and benefit of the Holders; </w:t>
      </w:r>
      <w:r>
        <w:rPr>
          <w:rFonts w:ascii="Times New Roman" w:hAnsi="Times New Roman"/>
          <w:i/>
          <w:sz w:val="20"/>
          <w:u w:val="single"/>
        </w:rPr>
        <w:t>provided</w:t>
      </w:r>
      <w:r>
        <w:rPr>
          <w:rFonts w:ascii="Times New Roman" w:hAnsi="Times New Roman"/>
          <w:sz w:val="20"/>
        </w:rPr>
        <w:t xml:space="preserve"> that in each case, such provisions shall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u w:val="single"/>
        </w:rPr>
        <w:t>provided</w:t>
      </w:r>
      <w:r>
        <w:rPr>
          <w:rFonts w:ascii="Times New Roman" w:hAnsi="Times New Roman"/>
          <w:sz w:val="20"/>
        </w:rPr>
        <w:t xml:space="preserve"> that in each case, such provisions shall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(vii) to cancel DPRs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or (ii) following a transfer of such DPRs to the Company or its Subsidiaries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or the Rights Agent pursuant to </w:t>
      </w:r>
      <w:r>
        <w:rPr>
          <w:rFonts w:ascii="Times New Roman" w:hAnsi="Times New Roman"/>
          <w:sz w:val="20"/>
          <w:u w:val="single"/>
        </w:rPr>
        <w:t>Section 5.1</w:t>
      </w:r>
      <w:r>
        <w:rPr>
          <w:rFonts w:ascii="Times New Roman" w:hAnsi="Times New Roman"/>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5.3 </w:t>
      </w:r>
      <w:r>
        <w:rPr>
          <w:rFonts w:ascii="Times New Roman" w:hAnsi="Times New Roman"/>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Article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sz w:val="20"/>
        </w:rPr>
        <w:t>Section 6.1 </w:t>
      </w:r>
      <w:r>
        <w:rPr>
          <w:rFonts w:ascii="Times New Roman" w:hAnsi="Times New Roman"/>
          <w:sz w:val="20"/>
          <w:u w:val="single"/>
        </w:rPr>
        <w:t>The Company May Not Consolidate,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before="24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 w:hAnsi="Times New Roman"/>
          <w:b/>
          <w:sz w:val="20"/>
        </w:rPr>
        <w:t>Surviving Person</w:t>
      </w:r>
      <w:r>
        <w:rPr>
          <w:rFonts w:ascii="Times New Roman" w:hAnsi="Times New Roman"/>
          <w:sz w:val="20"/>
        </w:rPr>
        <w:t xml:space="preserve">”) shall expressly assume the Company’s obligations under this Agreement, including payment of amounts on all DPRs in accordance with the applicable terms; and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6.2 </w:t>
      </w:r>
      <w:r>
        <w:rPr>
          <w:rFonts w:ascii="Times New Roman" w:hAnsi="Times New Roman"/>
          <w:sz w:val="20"/>
          <w:u w:val="single"/>
        </w:rPr>
        <w:t>Successor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6.1</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Section 7.1 </w:t>
      </w:r>
      <w:r>
        <w:rPr>
          <w:rFonts w:ascii="Times New Roman" w:hAnsi="Times New Roman"/>
          <w:sz w:val="20"/>
          <w:u w:val="single"/>
        </w:rPr>
        <w:t>Notices to Rights Agent and to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240" w:after="0"/>
        <w:jc w:val="left"/>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facsimile number as such party may hereafter specify for the purpose by notice to the other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7.2 </w:t>
      </w:r>
      <w:r>
        <w:rPr>
          <w:rFonts w:ascii="Times New Roman" w:hAnsi="Times New Roman"/>
          <w:sz w:val="20"/>
          <w:u w:val="single"/>
        </w:rPr>
        <w:t>Notice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360" w:after="0"/>
        <w:jc w:val="left"/>
        <w:rPr>
          <w:rFonts w:ascii="Times New Roman" w:hAnsi="Times New Roman"/>
          <w:sz w:val="20"/>
        </w:rPr>
      </w:pPr>
      <w:r>
        <w:rPr>
          <w:rFonts w:ascii="Times New Roman" w:hAnsi="Times New Roman"/>
          <w:sz w:val="20"/>
        </w:rPr>
        <w:t>Section 7.3 </w:t>
      </w:r>
      <w:r>
        <w:rPr>
          <w:rFonts w:ascii="Times New Roman" w:hAnsi="Times New Roman"/>
          <w:sz w:val="20"/>
          <w:u w:val="single"/>
        </w:rPr>
        <w:t>Entire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360" w:after="0"/>
        <w:jc w:val="left"/>
        <w:rPr>
          <w:rFonts w:ascii="Times New Roman" w:hAnsi="Times New Roman"/>
          <w:sz w:val="20"/>
        </w:rPr>
      </w:pPr>
      <w:r>
        <w:rPr>
          <w:rFonts w:ascii="Times New Roman" w:hAnsi="Times New Roman"/>
          <w:sz w:val="20"/>
        </w:rPr>
        <w:t>Section 7.4 </w:t>
      </w:r>
      <w:r>
        <w:rPr>
          <w:rFonts w:ascii="Times New Roman" w:hAnsi="Times New Roman"/>
          <w:sz w:val="20"/>
          <w:u w:val="single"/>
        </w:rPr>
        <w:t>Merger or Consolidation or Change of Name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hAnsi="Times New Roman"/>
          <w:i/>
          <w:sz w:val="20"/>
          <w:u w:val="single"/>
        </w:rPr>
        <w:t>provided</w:t>
      </w:r>
      <w:r>
        <w:rPr>
          <w:rFonts w:ascii="Times New Roman" w:hAnsi="Times New Roman"/>
          <w:sz w:val="20"/>
        </w:rPr>
        <w:t xml:space="preserve">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7.5 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7.6 </w:t>
      </w:r>
      <w:r>
        <w:rPr>
          <w:rFonts w:ascii="Times New Roman" w:hAnsi="Times New Roman"/>
          <w:sz w:val="20"/>
          <w:u w:val="single"/>
        </w:rPr>
        <w:t>Benefits of Agreement; Action by Majority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360" w:after="0"/>
        <w:jc w:val="left"/>
        <w:rPr>
          <w:rFonts w:ascii="Times New Roman" w:hAnsi="Times New Roman"/>
          <w:sz w:val="20"/>
        </w:rPr>
      </w:pPr>
      <w:r>
        <w:rPr>
          <w:rFonts w:ascii="Times New Roman" w:hAnsi="Times New Roman"/>
          <w:sz w:val="20"/>
        </w:rPr>
        <w:t>Section 7.7 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before="360" w:after="0"/>
        <w:jc w:val="left"/>
        <w:rPr>
          <w:rFonts w:ascii="Times New Roman" w:hAnsi="Times New Roman"/>
          <w:sz w:val="20"/>
        </w:rPr>
      </w:pPr>
      <w:r>
        <w:rPr>
          <w:rFonts w:ascii="Times New Roman" w:hAnsi="Times New Roman"/>
          <w:sz w:val="20"/>
        </w:rPr>
        <w:t>Section 7.8 </w:t>
      </w:r>
      <w:r>
        <w:rPr>
          <w:rFonts w:ascii="Times New Roman" w:hAnsi="Times New Roman"/>
          <w:sz w:val="20"/>
          <w:u w:val="single"/>
        </w:rPr>
        <w:t>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parties agree that the appropriate, exclusive and convenient forum (the “</w:t>
      </w:r>
      <w:r>
        <w:rPr>
          <w:rFonts w:ascii="Times New Roman" w:hAnsi="Times New Roman"/>
          <w:b/>
          <w:sz w:val="20"/>
        </w:rPr>
        <w:t>Forum</w:t>
      </w:r>
      <w:r>
        <w:rPr>
          <w:rFonts w:ascii="Times New Roman" w:hAnsi="Times New Roman"/>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7.8</w:t>
      </w:r>
      <w:r>
        <w:rPr>
          <w:rFonts w:ascii="Times New Roman" w:hAnsi="Times New Roman"/>
          <w:sz w:val="20"/>
        </w:rPr>
        <w:t xml:space="preserve"> shall limit the rights of any party to obtain execution of a judgment of any of the above specified courts in any other jurisdiction outside of those specified in this</w:t>
      </w:r>
      <w:r>
        <w:rPr>
          <w:rFonts w:ascii="Times New Roman" w:hAnsi="Times New Roman"/>
          <w:sz w:val="20"/>
          <w:u w:val="single"/>
        </w:rPr>
        <w:t> Section 7.8(a)</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7.9 </w:t>
      </w:r>
      <w:r>
        <w:rPr>
          <w:rFonts w:ascii="Times New Roman" w:hAnsi="Times New Roman"/>
          <w:b/>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7.10 </w:t>
      </w:r>
      <w:r>
        <w:rPr>
          <w:rFonts w:ascii="Times New Roman" w:hAnsi="Times New Roman"/>
          <w:sz w:val="20"/>
          <w:u w:val="single"/>
        </w:rPr>
        <w:t>Severability Clause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360" w:after="0"/>
        <w:jc w:val="left"/>
        <w:rPr>
          <w:rFonts w:ascii="Times New Roman" w:hAnsi="Times New Roman"/>
          <w:sz w:val="20"/>
        </w:rPr>
      </w:pPr>
      <w:r>
        <w:rPr>
          <w:rFonts w:ascii="Times New Roman" w:hAnsi="Times New Roman"/>
          <w:sz w:val="20"/>
        </w:rPr>
        <w:t>Section 7.11 </w:t>
      </w:r>
      <w:r>
        <w:rPr>
          <w:rFonts w:ascii="Times New Roman" w:hAnsi="Times New Roman"/>
          <w:sz w:val="20"/>
          <w:u w:val="single"/>
        </w:rPr>
        <w:t>Counterparts;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360" w:after="0"/>
        <w:jc w:val="left"/>
        <w:rPr>
          <w:rFonts w:ascii="Times New Roman" w:hAnsi="Times New Roman"/>
          <w:sz w:val="20"/>
        </w:rPr>
      </w:pPr>
      <w:r>
        <w:rPr>
          <w:rFonts w:ascii="Times New Roman" w:hAnsi="Times New Roman"/>
          <w:sz w:val="20"/>
        </w:rPr>
        <w:t>Section 7.12 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upon the expiration of the DPR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7.13 </w:t>
      </w:r>
      <w:r>
        <w:rPr>
          <w:rFonts w:ascii="Times New Roman" w:hAnsi="Times New Roman"/>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0"/>
        <w:gridCol w:w="194"/>
        <w:gridCol w:w="2998"/>
      </w:tblGrid>
      <w:tr>
        <w:trPr/>
        <w:tc>
          <w:tcPr>
            <w:tcW w:w="89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INDIVIOR PHARMACEUTICALS, INC.</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pBdr>
                <w:bottom w:val="single" w:sz="2" w:space="1" w:color="000000"/>
              </w:pBdr>
              <w:bidi w:val="0"/>
              <w:spacing w:before="0" w:after="20"/>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COMPUTERSHARE TRUST COMPANY, N.A.</w:t>
            </w:r>
            <w:r>
              <w:rPr/>
              <w:t>, as Rights Agent</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pBdr>
                <w:bottom w:val="single" w:sz="2" w:space="1" w:color="000000"/>
              </w:pBdr>
              <w:bidi w:val="0"/>
              <w:spacing w:before="0" w:after="20"/>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DPR Agreement] </w:t>
      </w:r>
    </w:p>
    <w:p>
      <w:pPr>
        <w:pStyle w:val="TextBody"/>
        <w:bidi w:val="0"/>
        <w:spacing w:before="0" w:after="0"/>
        <w:jc w:val="right"/>
        <w:rPr>
          <w:rFonts w:ascii="Times New Roman" w:hAnsi="Times New Roman"/>
          <w:b/>
          <w:sz w:val="20"/>
        </w:rPr>
      </w:pPr>
      <w:bookmarkStart w:id="4" w:name="d28447dex991.htm"/>
      <w:bookmarkStart w:id="5" w:name="ksd28447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Supernus Pharmaceuticals, Inc., a Delaware corporation (“</w:t>
      </w:r>
      <w:r>
        <w:rPr>
          <w:rFonts w:ascii="Times New Roman" w:hAnsi="Times New Roman"/>
          <w:b/>
          <w:sz w:val="20"/>
        </w:rPr>
        <w:t>Supernus</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Indivior Pharmaceuticals, Inc., a Delaware corporation (“</w:t>
      </w:r>
      <w:r>
        <w:rPr>
          <w:rFonts w:ascii="Times New Roman" w:hAnsi="Times New Roman"/>
          <w:b/>
          <w:sz w:val="20"/>
        </w:rPr>
        <w:t>Indivior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Indivior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Indivior Share Issuance, and (B)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Indivior Share Issuance.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Supernus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Indivior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Indivior.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Supernus</w:t>
      </w:r>
      <w:r>
        <w:rPr>
          <w:rFonts w:ascii="Times New Roman" w:hAnsi="Times New Roman"/>
          <w:sz w:val="20"/>
        </w:rPr>
        <w:t xml:space="preserve">. The Stockholder understands and acknowledges that Supernus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Supernus</w:t>
      </w:r>
      <w:r>
        <w:rPr>
          <w:rFonts w:ascii="Times New Roman" w:hAnsi="Times New Roman"/>
          <w:sz w:val="20"/>
        </w:rPr>
        <w:t xml:space="preserve">. Supernus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Supernus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Supernus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SHARES, INDIVIOR PSUS, INDIVIOR RSUS AND INDIVIOR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4"/>
        <w:gridCol w:w="789"/>
        <w:gridCol w:w="845"/>
        <w:gridCol w:w="789"/>
        <w:gridCol w:w="1130"/>
        <w:gridCol w:w="789"/>
        <w:gridCol w:w="1130"/>
        <w:gridCol w:w="789"/>
        <w:gridCol w:w="1130"/>
        <w:gridCol w:w="789"/>
        <w:gridCol w:w="711"/>
      </w:tblGrid>
      <w:tr>
        <w:trPr/>
        <w:tc>
          <w:tcPr>
            <w:tcW w:w="1314"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3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789" w:type="dxa"/>
            <w:tcBorders/>
            <w:vAlign w:val="bottom"/>
          </w:tcPr>
          <w:p>
            <w:pPr>
              <w:pStyle w:val="TableContents"/>
              <w:bidi w:val="0"/>
              <w:spacing w:before="0" w:after="283"/>
              <w:jc w:val="left"/>
              <w:rPr/>
            </w:pPr>
            <w:r>
              <w:rPr/>
              <w:t>  </w:t>
            </w:r>
          </w:p>
        </w:tc>
        <w:tc>
          <w:tcPr>
            <w:tcW w:w="845"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PSUs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RSUs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ESPP</w:t>
              <w:br/>
              <w:t>Purchase</w:t>
              <w:br/>
              <w:t>Rights</w:t>
            </w:r>
          </w:p>
        </w:tc>
        <w:tc>
          <w:tcPr>
            <w:tcW w:w="789" w:type="dxa"/>
            <w:tcBorders/>
            <w:vAlign w:val="bottom"/>
          </w:tcPr>
          <w:p>
            <w:pPr>
              <w:pStyle w:val="TableContents"/>
              <w:bidi w:val="0"/>
              <w:spacing w:before="0" w:after="283"/>
              <w:jc w:val="left"/>
              <w:rPr/>
            </w:pPr>
            <w:r>
              <w:rPr/>
              <w:t>  </w:t>
            </w:r>
          </w:p>
        </w:tc>
        <w:tc>
          <w:tcPr>
            <w:tcW w:w="711" w:type="dxa"/>
            <w:tcBorders>
              <w:bottom w:val="single" w:sz="8" w:space="0" w:color="000000"/>
            </w:tcBorders>
            <w:tcMar>
              <w:bottom w:w="28" w:type="dxa"/>
            </w:tcMar>
            <w:vAlign w:val="bottom"/>
          </w:tcPr>
          <w:p>
            <w:pPr>
              <w:pStyle w:val="TableContents"/>
              <w:bidi w:val="0"/>
              <w:spacing w:before="0" w:after="283"/>
              <w:jc w:val="center"/>
              <w:rPr>
                <w:b/>
              </w:rPr>
            </w:pPr>
            <w:r>
              <w:rPr>
                <w:b/>
              </w:rPr>
              <w:t>Total</w:t>
              <w:br/>
              <w:t>Shares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[Schedule A to Voting Agreement] </w:t>
      </w:r>
    </w:p>
    <w:p>
      <w:pPr>
        <w:pStyle w:val="TextBody"/>
        <w:bidi w:val="0"/>
        <w:spacing w:before="0" w:after="0"/>
        <w:jc w:val="right"/>
        <w:rPr>
          <w:rFonts w:ascii="Times New Roman" w:hAnsi="Times New Roman"/>
          <w:b/>
          <w:sz w:val="20"/>
        </w:rPr>
      </w:pPr>
      <w:bookmarkStart w:id="6" w:name="d28447dex992.htm"/>
      <w:bookmarkStart w:id="7" w:name="ksd28447dex992"/>
      <w:bookmarkEnd w:id="6"/>
      <w:bookmarkEnd w:id="7"/>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Indivior Pharmaceuticals, Inc., a Delaware corporation (“</w:t>
      </w:r>
      <w:r>
        <w:rPr>
          <w:rFonts w:ascii="Times New Roman" w:hAnsi="Times New Roman"/>
          <w:b/>
          <w:sz w:val="20"/>
        </w:rPr>
        <w:t>Indivior</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Supernus Pharmaceuticals, Inc., a Delaware corporation (“</w:t>
      </w:r>
      <w:r>
        <w:rPr>
          <w:rFonts w:ascii="Times New Roman" w:hAnsi="Times New Roman"/>
          <w:b/>
          <w:sz w:val="20"/>
        </w:rPr>
        <w:t>Supernus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Supernus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the Merger, (B) the adoption and approval of the Merger Agreement and the terms thereof, and (C)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Indivior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Supernus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Supernus.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Indivior</w:t>
      </w:r>
      <w:r>
        <w:rPr>
          <w:rFonts w:ascii="Times New Roman" w:hAnsi="Times New Roman"/>
          <w:sz w:val="20"/>
        </w:rPr>
        <w:t xml:space="preserve">. The Stockholder understands and acknowledges that Indivior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Indivior</w:t>
      </w:r>
      <w:r>
        <w:rPr>
          <w:rFonts w:ascii="Times New Roman" w:hAnsi="Times New Roman"/>
          <w:sz w:val="20"/>
        </w:rPr>
        <w:t xml:space="preserve">. Indivior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Supernus or its counsel to notify Supernus’ transfer agent that there is a stop transfer order with respect to all of the Supernus Shares of the Stockholder (and that this Agreement places limits on the voting and transfer of such Supernus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120" w:after="0"/>
        <w:jc w:val="left"/>
        <w:rPr>
          <w:rFonts w:ascii="Times New Roman" w:hAnsi="Times New Roman"/>
          <w:sz w:val="20"/>
        </w:rPr>
      </w:pPr>
      <w:r>
        <w:rPr>
          <w:rFonts w:ascii="Times New Roman" w:hAnsi="Times New Roman"/>
          <w:sz w:val="20"/>
          <w:u w:val="single"/>
        </w:rPr>
        <w:t>Notices to Indivior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3025 John F Kennedy Blvd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tbl>
      <w:tblPr>
        <w:tblW w:w="5000" w:type="pct"/>
        <w:jc w:val="left"/>
        <w:tblInd w:w="0" w:type="dxa"/>
        <w:tblLayout w:type="fixed"/>
        <w:tblCellMar>
          <w:top w:w="0" w:type="dxa"/>
          <w:left w:w="0" w:type="dxa"/>
          <w:bottom w:w="0" w:type="dxa"/>
          <w:right w:w="0" w:type="dxa"/>
        </w:tblCellMar>
      </w:tblPr>
      <w:tblGrid>
        <w:gridCol w:w="404"/>
        <w:gridCol w:w="909"/>
        <w:gridCol w:w="8892"/>
      </w:tblGrid>
      <w:tr>
        <w:trPr/>
        <w:tc>
          <w:tcPr>
            <w:tcW w:w="404" w:type="dxa"/>
            <w:tcBorders/>
            <w:vAlign w:val="center"/>
          </w:tcPr>
          <w:p>
            <w:pPr>
              <w:pStyle w:val="TableContents"/>
              <w:bidi w:val="0"/>
              <w:spacing w:before="0" w:after="283"/>
              <w:jc w:val="left"/>
              <w:rPr/>
            </w:pPr>
            <w:r>
              <w:rPr/>
              <w:t> </w:t>
            </w:r>
          </w:p>
        </w:tc>
        <w:tc>
          <w:tcPr>
            <w:tcW w:w="909" w:type="dxa"/>
            <w:tcBorders/>
          </w:tcPr>
          <w:p>
            <w:pPr>
              <w:pStyle w:val="TableContents"/>
              <w:bidi w:val="0"/>
              <w:spacing w:before="0" w:after="283"/>
              <w:jc w:val="left"/>
              <w:rPr/>
            </w:pPr>
            <w:r>
              <w:rPr/>
              <w:t>Attention:</w:t>
            </w:r>
          </w:p>
        </w:tc>
        <w:tc>
          <w:tcPr>
            <w:tcW w:w="8892" w:type="dxa"/>
            <w:tcBorders/>
          </w:tcPr>
          <w:p>
            <w:pPr>
              <w:pStyle w:val="TableContents"/>
              <w:bidi w:val="0"/>
              <w:spacing w:before="0" w:after="0"/>
              <w:jc w:val="left"/>
              <w:rPr/>
            </w:pPr>
            <w:r>
              <w:rPr/>
              <w:t>  </w:t>
            </w:r>
            <w:r>
              <w:rPr>
                <w:rFonts w:ascii="Times New Roman" w:hAnsi="Times New Roman"/>
                <w:sz w:val="20"/>
              </w:rPr>
              <w:t xml:space="preserve">Rachael Bushey </w:t>
            </w:r>
          </w:p>
        </w:tc>
      </w:tr>
    </w:tbl>
    <w:p>
      <w:pPr>
        <w:pStyle w:val="TextBody"/>
        <w:bidi w:val="0"/>
        <w:spacing w:before="0" w:after="0"/>
        <w:jc w:val="left"/>
        <w:rPr/>
      </w:pPr>
      <w:r>
        <w:rPr/>
        <w:t> </w:t>
      </w:r>
      <w:r>
        <w:rPr>
          <w:rFonts w:ascii="Times New Roman" w:hAnsi="Times New Roman"/>
          <w:sz w:val="20"/>
        </w:rPr>
        <w:t xml:space="preserve">Jennifer Porter </w:t>
      </w:r>
    </w:p>
    <w:p>
      <w:pPr>
        <w:pStyle w:val="TextBody"/>
        <w:bidi w:val="0"/>
        <w:spacing w:before="0" w:after="0"/>
        <w:jc w:val="left"/>
        <w:rPr/>
      </w:pPr>
      <w:r>
        <w:rPr/>
        <w:t> </w:t>
      </w:r>
      <w:r>
        <w:rPr>
          <w:rFonts w:ascii="Times New Roman" w:hAnsi="Times New Roman"/>
          <w:sz w:val="20"/>
        </w:rPr>
        <w:t xml:space="preserve">Stephanie Isaia </w:t>
      </w:r>
    </w:p>
    <w:p>
      <w:pPr>
        <w:pStyle w:val="TextBody"/>
        <w:bidi w:val="0"/>
        <w:spacing w:before="120" w:after="0"/>
        <w:jc w:val="left"/>
        <w:rPr>
          <w:rFonts w:ascii="Times New Roman" w:hAnsi="Times New Roman"/>
          <w:sz w:val="20"/>
        </w:rPr>
      </w:pPr>
      <w:r>
        <w:rPr>
          <w:rFonts w:ascii="Times New Roman" w:hAnsi="Times New Roman"/>
          <w:sz w:val="20"/>
        </w:rPr>
        <w:t xml:space="preserve">Email: RBushey@goodwinlaw.com, JPorter@goodwinlaw.com </w:t>
      </w:r>
    </w:p>
    <w:p>
      <w:pPr>
        <w:pStyle w:val="TextBody"/>
        <w:bidi w:val="0"/>
        <w:spacing w:before="0" w:after="0"/>
        <w:jc w:val="left"/>
        <w:rPr>
          <w:rFonts w:ascii="Times New Roman" w:hAnsi="Times New Roman"/>
          <w:sz w:val="20"/>
        </w:rPr>
      </w:pPr>
      <w:r>
        <w:rPr>
          <w:rFonts w:ascii="Times New Roman" w:hAnsi="Times New Roman"/>
          <w:sz w:val="20"/>
        </w:rPr>
        <w:t xml:space="preserve">SIsaia@goodwinlaw.com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Indivior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79"/>
        <w:gridCol w:w="153"/>
        <w:gridCol w:w="2150"/>
      </w:tblGrid>
      <w:tr>
        <w:trPr/>
        <w:tc>
          <w:tcPr>
            <w:tcW w:w="177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1779" w:type="dxa"/>
            <w:tcBorders/>
          </w:tcPr>
          <w:p>
            <w:pPr>
              <w:pStyle w:val="TableContents"/>
              <w:bidi w:val="0"/>
              <w:spacing w:before="0" w:after="283"/>
              <w:jc w:val="left"/>
              <w:rPr/>
            </w:pPr>
            <w:r>
              <w:rPr/>
              <w:t>[Name]</w:t>
            </w:r>
          </w:p>
        </w:tc>
        <w:tc>
          <w:tcPr>
            <w:tcW w:w="153" w:type="dxa"/>
            <w:tcBorders/>
            <w:vAlign w:val="bottom"/>
          </w:tcPr>
          <w:p>
            <w:pPr>
              <w:pStyle w:val="TableContents"/>
              <w:bidi w:val="0"/>
              <w:spacing w:before="0" w:after="283"/>
              <w:jc w:val="left"/>
              <w:rPr/>
            </w:pPr>
            <w:r>
              <w:rPr/>
              <w:t> </w:t>
            </w:r>
          </w:p>
        </w:tc>
        <w:tc>
          <w:tcPr>
            <w:tcW w:w="21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Supernus Shares, Supernus Options, Supernus RSUs, Supernus PSUs and Supernus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5"/>
        <w:gridCol w:w="187"/>
        <w:gridCol w:w="1397"/>
        <w:gridCol w:w="103"/>
        <w:gridCol w:w="1519"/>
        <w:gridCol w:w="461"/>
        <w:gridCol w:w="1179"/>
        <w:gridCol w:w="121"/>
        <w:gridCol w:w="1179"/>
        <w:gridCol w:w="121"/>
        <w:gridCol w:w="1179"/>
        <w:gridCol w:w="121"/>
        <w:gridCol w:w="1093"/>
      </w:tblGrid>
      <w:tr>
        <w:trPr/>
        <w:tc>
          <w:tcPr>
            <w:tcW w:w="154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187"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c>
          <w:tcPr>
            <w:tcW w:w="103" w:type="dxa"/>
            <w:tcBorders/>
            <w:vAlign w:val="bottom"/>
          </w:tcPr>
          <w:p>
            <w:pPr>
              <w:pStyle w:val="TableContents"/>
              <w:bidi w:val="0"/>
              <w:spacing w:before="0" w:after="283"/>
              <w:jc w:val="left"/>
              <w:rPr/>
            </w:pPr>
            <w:r>
              <w:rPr/>
              <w:t> </w:t>
            </w:r>
          </w:p>
        </w:tc>
        <w:tc>
          <w:tcPr>
            <w:tcW w:w="15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underlying</w:t>
            </w:r>
          </w:p>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Options</w:t>
            </w:r>
          </w:p>
        </w:tc>
        <w:tc>
          <w:tcPr>
            <w:tcW w:w="46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RSUs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PSUs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0"/>
              <w:jc w:val="center"/>
              <w:rPr>
                <w:rFonts w:ascii="Times New Roman" w:hAnsi="Times New Roman"/>
                <w:b/>
                <w:sz w:val="16"/>
              </w:rPr>
            </w:pPr>
            <w:r>
              <w:rPr>
                <w:rFonts w:ascii="Times New Roman" w:hAnsi="Times New Roman"/>
                <w:b/>
                <w:sz w:val="16"/>
              </w:rPr>
              <w:t>ESPP</w:t>
            </w:r>
          </w:p>
          <w:p>
            <w:pPr>
              <w:pStyle w:val="TableContents"/>
              <w:bidi w:val="0"/>
              <w:spacing w:before="0" w:after="0"/>
              <w:jc w:val="center"/>
              <w:rPr>
                <w:rFonts w:ascii="Times New Roman" w:hAnsi="Times New Roman"/>
                <w:b/>
                <w:sz w:val="16"/>
              </w:rPr>
            </w:pPr>
            <w:r>
              <w:rPr>
                <w:rFonts w:ascii="Times New Roman" w:hAnsi="Times New Roman"/>
                <w:b/>
                <w:sz w:val="16"/>
              </w:rPr>
              <w:t>Purchase</w:t>
            </w:r>
          </w:p>
          <w:p>
            <w:pPr>
              <w:pStyle w:val="TableContents"/>
              <w:bidi w:val="0"/>
              <w:spacing w:before="0" w:after="20"/>
              <w:jc w:val="center"/>
              <w:rPr>
                <w:rFonts w:ascii="Times New Roman" w:hAnsi="Times New Roman"/>
                <w:b/>
                <w:sz w:val="16"/>
              </w:rPr>
            </w:pPr>
            <w:r>
              <w:rPr>
                <w:rFonts w:ascii="Times New Roman" w:hAnsi="Times New Roman"/>
                <w:b/>
                <w:sz w:val="16"/>
              </w:rPr>
              <w:t>Rights</w:t>
            </w:r>
          </w:p>
        </w:tc>
        <w:tc>
          <w:tcPr>
            <w:tcW w:w="121" w:type="dxa"/>
            <w:tcBorders/>
            <w:vAlign w:val="bottom"/>
          </w:tcPr>
          <w:p>
            <w:pPr>
              <w:pStyle w:val="TableContents"/>
              <w:bidi w:val="0"/>
              <w:spacing w:before="0" w:after="283"/>
              <w:jc w:val="left"/>
              <w:rPr/>
            </w:pPr>
            <w:r>
              <w:rPr/>
              <w:t>  </w:t>
            </w:r>
          </w:p>
        </w:tc>
        <w:tc>
          <w:tcPr>
            <w:tcW w:w="109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to Voting Agreement] </w:t>
      </w:r>
    </w:p>
    <w:p>
      <w:pPr>
        <w:pStyle w:val="TextBody"/>
        <w:bidi w:val="0"/>
        <w:spacing w:before="0" w:after="0"/>
        <w:jc w:val="right"/>
        <w:rPr>
          <w:rFonts w:ascii="Times New Roman" w:hAnsi="Times New Roman"/>
          <w:b/>
          <w:sz w:val="20"/>
        </w:rPr>
      </w:pPr>
      <w:bookmarkStart w:id="8" w:name="d28447dex993.htm"/>
      <w:bookmarkStart w:id="9" w:name="ksd28447dex993"/>
      <w:bookmarkEnd w:id="8"/>
      <w:bookmarkEnd w:id="9"/>
      <w:r>
        <w:rPr>
          <w:rFonts w:ascii="Times New Roman" w:hAnsi="Times New Roman"/>
          <w:b/>
          <w:sz w:val="20"/>
        </w:rPr>
        <w:t xml:space="preserve">Exhibit 99.3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4287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90525"/>
                    </a:xfrm>
                    <a:prstGeom prst="rect">
                      <a:avLst/>
                    </a:prstGeom>
                  </pic:spPr>
                </pic:pic>
              </a:graphicData>
            </a:graphic>
          </wp:inline>
        </w:drawing>
      </w:r>
      <w:r>
        <w:rPr/>
        <w:t xml:space="preserve"> </w:t>
      </w:r>
      <w:r>
        <w:rPr/>
        <w:drawing>
          <wp:inline distT="0" distB="0" distL="0" distR="0">
            <wp:extent cx="12763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Supernus Pharmaceuticals and Indivior Pharmaceuticals to Merge, Creating a Diversified CNS Biopharmaceutical Leader with Significant Scale </w:t>
      </w:r>
    </w:p>
    <w:p>
      <w:pPr>
        <w:pStyle w:val="TextBody"/>
        <w:bidi w:val="0"/>
        <w:spacing w:before="120" w:after="0"/>
        <w:jc w:val="center"/>
        <w:rPr>
          <w:rFonts w:ascii="Times New Roman" w:hAnsi="Times New Roman"/>
          <w:i/>
          <w:sz w:val="20"/>
        </w:rPr>
      </w:pPr>
      <w:r>
        <w:rPr>
          <w:rFonts w:ascii="Times New Roman" w:hAnsi="Times New Roman"/>
          <w:i/>
          <w:sz w:val="20"/>
        </w:rPr>
        <w:t>  Combines highly complementary businesses, with a diversified portfolio of CNS medicines totaling approximately $2.2</w:t>
      </w:r>
    </w:p>
    <w:p>
      <w:pPr>
        <w:pStyle w:val="TextBody"/>
        <w:bidi w:val="0"/>
        <w:spacing w:before="0" w:after="0"/>
        <w:jc w:val="center"/>
        <w:rPr>
          <w:rFonts w:ascii="Times New Roman" w:hAnsi="Times New Roman"/>
          <w:sz w:val="20"/>
        </w:rPr>
      </w:pPr>
      <w:r>
        <w:rPr>
          <w:rFonts w:ascii="Times New Roman" w:hAnsi="Times New Roman"/>
          <w:i/>
          <w:sz w:val="20"/>
        </w:rPr>
        <w:t>billion in combined annual revenues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  </w:t>
      </w:r>
      <w:r>
        <w:rPr>
          <w:rFonts w:ascii="Times New Roman" w:hAnsi="Times New Roman"/>
          <w:i/>
          <w:sz w:val="20"/>
        </w:rPr>
        <w:t>Enhanced financial position and free cash flow generation enabling greater financial flexibility to pursue internal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external growth opportunities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i/>
          <w:sz w:val="20"/>
        </w:rPr>
        <w:t>  Combined company expected to benefit from immediate scale and $125</w:t>
      </w:r>
      <w:r>
        <w:rPr>
          <w:rFonts w:ascii="Times New Roman" w:hAnsi="Times New Roman"/>
          <w:sz w:val="20"/>
        </w:rPr>
        <w:t> </w:t>
      </w:r>
      <w:r>
        <w:rPr>
          <w:rFonts w:ascii="Times New Roman" w:hAnsi="Times New Roman"/>
          <w:i/>
          <w:sz w:val="20"/>
        </w:rPr>
        <w:t xml:space="preserve">million of expected </w:t>
      </w:r>
    </w:p>
    <w:p>
      <w:pPr>
        <w:pStyle w:val="TextBody"/>
        <w:bidi w:val="0"/>
        <w:spacing w:before="0" w:after="0"/>
        <w:jc w:val="center"/>
        <w:rPr>
          <w:rFonts w:ascii="Times New Roman" w:hAnsi="Times New Roman"/>
          <w:sz w:val="20"/>
        </w:rPr>
      </w:pPr>
      <w:r>
        <w:rPr>
          <w:rFonts w:ascii="Times New Roman" w:hAnsi="Times New Roman"/>
          <w:sz w:val="20"/>
        </w:rPr>
        <w:t xml:space="preserve">annual cost synergies </w:t>
      </w:r>
    </w:p>
    <w:p>
      <w:pPr>
        <w:pStyle w:val="TextBody"/>
        <w:bidi w:val="0"/>
        <w:spacing w:before="120" w:after="0"/>
        <w:jc w:val="center"/>
        <w:rPr>
          <w:rFonts w:ascii="Times New Roman" w:hAnsi="Times New Roman"/>
          <w:sz w:val="20"/>
        </w:rPr>
      </w:pPr>
      <w:r>
        <w:rPr>
          <w:rFonts w:ascii="Times New Roman" w:hAnsi="Times New Roman"/>
          <w:i/>
          <w:sz w:val="20"/>
        </w:rPr>
        <w:t>  Combined entity to be named Supernus, Inc. and Jack Khattar to serve as President and Chief Executive Officer</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i/>
          <w:sz w:val="20"/>
        </w:rPr>
        <w:t>  Companies to host joint conference call at 8:30 a.m. EDT today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Rockville, Md., and Richmond, Va., August</w:t>
      </w:r>
      <w:r>
        <w:rPr>
          <w:rFonts w:ascii="Times New Roman" w:hAnsi="Times New Roman"/>
          <w:sz w:val="20"/>
        </w:rPr>
        <w:t> </w:t>
      </w:r>
      <w:r>
        <w:rPr>
          <w:rFonts w:ascii="Times New Roman" w:hAnsi="Times New Roman"/>
          <w:b/>
          <w:sz w:val="20"/>
        </w:rPr>
        <w:t xml:space="preserve">3, 2026 </w:t>
      </w:r>
      <w:r>
        <w:rPr>
          <w:rFonts w:ascii="Times New Roman" w:hAnsi="Times New Roman"/>
          <w:sz w:val="20"/>
        </w:rPr>
        <w:t xml:space="preserve">– Supernus Pharmaceuticals, Inc. (Nasdaq: SUPN) and Indivior Pharmaceuticals, Inc. (Nasdaq: INDV) today announced that they have entered into a definitive agreement to combine in a tax-free all-stock merger of equals transaction to create a leading diversified, central nervous system (CNS) biopharmaceutical company with significant scale. The transaction is expected to generate significant value for stockholders of both companies, realizing $125 million in expected annual cost synergies. The combined entity will be named Supernus, Inc. and will be listed on the Nasdaq Global Market under the ticker symbol “SUPN”. Upon completion of the transaction, Jack Khattar, Supernus Pharmaceuticals President and Chief Executive Officer, will serve as President, Chief Executive Officer and a member of the Board of Directors of the combined company, and Tony Kingsley, a member of Indivior’s Board of Directors, will serve as Board Chair of the combined company. </w:t>
      </w:r>
    </w:p>
    <w:p>
      <w:pPr>
        <w:pStyle w:val="TextBody"/>
        <w:bidi w:val="0"/>
        <w:spacing w:before="240" w:after="0"/>
        <w:jc w:val="left"/>
        <w:rPr/>
      </w:pPr>
      <w:r>
        <w:rPr/>
        <w:t>“</w:t>
      </w:r>
      <w:r>
        <w:rPr>
          <w:rFonts w:ascii="Times New Roman" w:hAnsi="Times New Roman"/>
          <w:sz w:val="20"/>
        </w:rPr>
        <w:t xml:space="preserve">This merger brings together two complementary organizations with a shared vision of improving the lives of people living with central nervous system diseases,” said Jack Khattar, Supernus Pharmaceuticals President and Chief Executive Officer. “With our combined commercial expertise and enhanced capabilities, we are well positioned to drive significant, durable growth across our diversified portfolio of medicines. This transaction also provides us with greater financial flexibility to pursue growth initiatives to potentially accelerate value creation for stockholders.” </w:t>
      </w:r>
    </w:p>
    <w:p>
      <w:pPr>
        <w:pStyle w:val="TextBody"/>
        <w:bidi w:val="0"/>
        <w:spacing w:before="240" w:after="0"/>
        <w:jc w:val="left"/>
        <w:rPr/>
      </w:pPr>
      <w:r>
        <w:rPr/>
        <w:t>“</w:t>
      </w:r>
      <w:r>
        <w:rPr>
          <w:rFonts w:ascii="Times New Roman" w:hAnsi="Times New Roman"/>
          <w:sz w:val="20"/>
        </w:rPr>
        <w:t xml:space="preserve">Under Jack’s leadership, we are excited by the potential of the combination and confident in Supernus’ future,” said Joe Ciaffoni, Indivior Pharmaceuticals Chief Executive Officer. “Bringing our two organizations together is intended to deliver greater value to the patients, healthcare communities, and stockholders we serve. After the closing of the proposed merger, all three phases of the Indivior Action Agenda will have been successfully completed.”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Strategic and Financial Rationale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sz w:val="20"/>
              </w:rPr>
              <w:t>Diversified and scaled portfolio of medicines that treat CNS diseases:</w:t>
            </w:r>
            <w:r>
              <w:rPr>
                <w:rFonts w:ascii="Times New Roman" w:hAnsi="Times New Roman"/>
                <w:sz w:val="20"/>
              </w:rPr>
              <w:t xml:space="preserve"> The combined company will have a commercial portfolio of 11 differentiated medicines across psychiatry, neurology and addiction, with key growth products currently expected to continue growing well into the 2030s.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Accelerates profitable growth and cash flow generation:</w:t>
            </w:r>
            <w:r>
              <w:rPr>
                <w:rFonts w:ascii="Times New Roman" w:hAnsi="Times New Roman"/>
                <w:sz w:val="20"/>
              </w:rPr>
              <w:t xml:space="preserve"> The combined company is expected to generate pro forma net revenue of $2.2 billion and pro forma adjusted EBITDA of $888 million(1)(2).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Strong financial profile enables increased flexibility and capacity to pursue growth opportunities:</w:t>
            </w:r>
            <w:r>
              <w:rPr>
                <w:rFonts w:ascii="Times New Roman" w:hAnsi="Times New Roman"/>
                <w:sz w:val="20"/>
              </w:rPr>
              <w:t xml:space="preserve"> The combined company will have a strong balance sheet with net debt of approximately $878 million(3) and a net leverage ratio of &lt;1x(4).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transaction provides the combined company with increased financial flexibility and capacity to pursue additional growth opportunities, including investing in the growth of the combined current commercial portfolio, advancing Supernus Pharmaceuticals’ innovative pipeline programs, and evaluating business development opportunities to expand and enhance the combined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Proven leadership team with a track record of building successful commercial franchises and successfully integrating acquisitions:</w:t>
            </w:r>
            <w:r>
              <w:rPr>
                <w:rFonts w:ascii="Times New Roman" w:hAnsi="Times New Roman"/>
                <w:sz w:val="20"/>
              </w:rPr>
              <w:t xml:space="preserve"> The transaction brings together experienced teams with successful track records of developing, launching, and commercializing medicines to address significant unmet needs, as well as successfully integrating acquired businesses. In addition, the combined company will have the capabilities to drive innovative internal research and development and execute additional strategic acquisitions.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Governance and Headquarters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Board is expected to have a total of eight directors, including four directors from Supernus Pharmaceuticals, including Jack Khattar as President and Chief Executive Officer, and four directors from Indivior Pharmaceuticals, including Tony Kingsley as Board Chair. </w:t>
      </w:r>
    </w:p>
    <w:p>
      <w:pPr>
        <w:pStyle w:val="TextBody"/>
        <w:bidi w:val="0"/>
        <w:spacing w:before="240" w:after="0"/>
        <w:jc w:val="left"/>
        <w:rPr>
          <w:rFonts w:ascii="Times New Roman" w:hAnsi="Times New Roman"/>
          <w:sz w:val="20"/>
        </w:rPr>
      </w:pPr>
      <w:r>
        <w:rPr>
          <w:rFonts w:ascii="Times New Roman" w:hAnsi="Times New Roman"/>
          <w:sz w:val="20"/>
        </w:rPr>
        <w:t xml:space="preserve">Supernus Pharmaceuticals’ headquarters in Rockville, Md., will serve as the combined company’s global headquarters following completion of the merger. The structure of the leadership team of the combined organizations and the names of all directors will be announced prior to or in conjunction with the closing of the transaction.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which has been unanimously approved by the Boards of Directors of both companies, Supernus Pharmaceuticals stockholders will receive 1.5401 common shares of Indivior Pharmaceuticals for each share of Supernus Pharmaceuticals they own. Indivior Pharmaceuticals stockholders will receive a one-time special cash dividend of $1.0 billion in aggregate immediately prior to closing of the merger. To finance the dividend to Indivior Pharmaceuticals stockholders, the companies have secured a debt commitment of $650 million through a term loan facility provided by Citibank N.A. with the remaining portion to be funded by existing cash on hand of the combined company. Upon the close of the transaction, Indivior Pharmaceuticals stockholders will own approximately 56.5% of the combined company, and Supernus Pharmaceuticals stockholders will own approximately 43.5%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expected to close in the fourth quarter of 2026, subject to approval by stockholders of both companies, regulatory approvals and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In separate press releases issued today, Supernus and Indivior will each report financial results for second quarter ended June 30, 2026. The press releases will be available in the Investor Relations sections of the companies’ respective websites.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 announcement, Supernus and Indivior will host the joint transaction conference call in lieu of their previously scheduled second quarter 2026 earnings conference calls.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Cantor Fitzgerald &amp; Co. is serving as lead financial advisor to Supernus Pharmaceuticals. Wells Fargo also served as an additional financial advisor to Supernus Pharmaceuticals. Saul Ewing LLP is serving as legal counsel to Supernus Pharmaceuticals and Morgan Lewis UK is serving as legal advisors to Supernus Pharmaceuticals with respect to certain Canadian and European Union matters.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Piper Sandler &amp; Co. are serving as joint financial advisors to Indivior and Goodwin Procter LLP is serving as legal counsel to Indivior. Citi also provided financial advice to Indivior, and Citibank, N.A. is providing committed financing in support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the transaction can be found on the Supernus and Indivior websites, which are listed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Conference Call and 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Supernus and Indivior will host a joint conference call and webcast presentation today, August 3, 2026, at 8:30 a.m. EDT. A live webcast will be available </w:t>
      </w:r>
      <w:r>
        <w:rPr>
          <w:rFonts w:ascii="Times New Roman" w:hAnsi="Times New Roman"/>
          <w:b/>
          <w:sz w:val="20"/>
        </w:rPr>
        <w:t>here</w:t>
      </w:r>
      <w:r>
        <w:rPr>
          <w:rFonts w:ascii="Times New Roman" w:hAnsi="Times New Roman"/>
          <w:sz w:val="20"/>
        </w:rPr>
        <w:t xml:space="preserve"> or from the Investor Relations section of both companies’ websites at Supernus Events &amp; Presentations and www.indivior.com. </w:t>
      </w:r>
    </w:p>
    <w:p>
      <w:pPr>
        <w:pStyle w:val="TextBody"/>
        <w:bidi w:val="0"/>
        <w:spacing w:before="240" w:after="0"/>
        <w:jc w:val="left"/>
        <w:rPr>
          <w:rFonts w:ascii="Times New Roman" w:hAnsi="Times New Roman"/>
          <w:sz w:val="20"/>
        </w:rPr>
      </w:pPr>
      <w:r>
        <w:rPr>
          <w:rFonts w:ascii="Times New Roman" w:hAnsi="Times New Roman"/>
          <w:sz w:val="20"/>
        </w:rPr>
        <w:t xml:space="preserve">Participants may also pre-register any time before the call here. Once registration is completed, participants will be provided a dial-in number with a personalized conference code to access the call. Please dial in 15 minutes prior to the start time.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webcast will be available following the event. </w:t>
      </w:r>
    </w:p>
    <w:p>
      <w:pPr>
        <w:pStyle w:val="TextBody"/>
        <w:bidi w:val="0"/>
        <w:spacing w:before="240" w:after="0"/>
        <w:jc w:val="left"/>
        <w:rPr>
          <w:rFonts w:ascii="Times New Roman" w:hAnsi="Times New Roman"/>
          <w:sz w:val="20"/>
        </w:rPr>
      </w:pPr>
      <w:r>
        <w:rPr>
          <w:rFonts w:ascii="Times New Roman" w:hAnsi="Times New Roman"/>
          <w:sz w:val="20"/>
        </w:rPr>
        <w:t xml:space="preserve">An investor presentation, which will be referenced during the webcast, is also available from the Investor Relations section of both companies’ websites.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Supernus 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Supernus is a biopharmaceutical company focused on developing and commercializing products for the treatment of central nervous system (CNS) diseases. </w:t>
      </w:r>
    </w:p>
    <w:p>
      <w:pPr>
        <w:pStyle w:val="TextBody"/>
        <w:bidi w:val="0"/>
        <w:spacing w:before="240" w:after="0"/>
        <w:jc w:val="left"/>
        <w:rPr>
          <w:rFonts w:ascii="Times New Roman" w:hAnsi="Times New Roman"/>
          <w:sz w:val="20"/>
        </w:rPr>
      </w:pPr>
      <w:r>
        <w:rPr>
          <w:rFonts w:ascii="Times New Roman" w:hAnsi="Times New Roman"/>
          <w:sz w:val="20"/>
        </w:rPr>
        <w:t xml:space="preserve">Supernus’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www.supernus.com.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Indivior 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www.indivior.com to learn more. Connect with Indivior on LinkedIn by visiting www.linkedin.com/company/Indivior.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Non-GAAP financial measures adjust for non-recurring items and other items representing expenses or income that we believe do not reflect the Companies’ ongoing operations or the adjustment of which may help with the comparison to prior periods. The Companies’ believe their non-GAAP financial measures may be useful to investors to understand each Companies’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92"/>
        <w:gridCol w:w="2038"/>
        <w:gridCol w:w="192"/>
        <w:gridCol w:w="1918"/>
        <w:gridCol w:w="124"/>
        <w:gridCol w:w="3731"/>
      </w:tblGrid>
      <w:tr>
        <w:trPr/>
        <w:tc>
          <w:tcPr>
            <w:tcW w:w="201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Pr>
          <w:p>
            <w:pPr>
              <w:pStyle w:val="TableContents"/>
              <w:bidi w:val="0"/>
              <w:spacing w:before="0" w:after="283"/>
              <w:jc w:val="left"/>
              <w:rPr>
                <w:b/>
                <w:u w:val="single"/>
              </w:rPr>
            </w:pPr>
            <w:r>
              <w:rPr>
                <w:b/>
                <w:u w:val="single"/>
              </w:rPr>
              <w:t>Supernus Pharmaceuticals Contacts</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sz w:val="4"/>
                <w:szCs w:val="4"/>
              </w:rPr>
            </w:pPr>
            <w:r>
              <w:rPr>
                <w:sz w:val="4"/>
                <w:szCs w:val="4"/>
              </w:rPr>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Investors</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Peter Vozzo</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ICR Healthcare</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+1 443 213 0505</w:t>
            </w:r>
          </w:p>
        </w:tc>
      </w:tr>
      <w:tr>
        <w:trPr/>
        <w:tc>
          <w:tcPr>
            <w:tcW w:w="2010"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peter.vozzo@icrhealthcare.com</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Media</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Diana Torres-Bixby</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Burson Global</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+1 917 686 0517</w:t>
            </w:r>
          </w:p>
        </w:tc>
      </w:tr>
      <w:tr>
        <w:trPr/>
        <w:tc>
          <w:tcPr>
            <w:tcW w:w="2010"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Diana.torres-bixby@bursonglobal.com</w:t>
            </w:r>
          </w:p>
        </w:tc>
      </w:tr>
      <w:tr>
        <w:trPr>
          <w:trHeight w:val="240" w:hRule="atLeast"/>
        </w:trPr>
        <w:tc>
          <w:tcPr>
            <w:tcW w:w="4240" w:type="dxa"/>
            <w:gridSpan w:val="3"/>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Pr>
          <w:p>
            <w:pPr>
              <w:pStyle w:val="TableContents"/>
              <w:bidi w:val="0"/>
              <w:spacing w:before="0" w:after="283"/>
              <w:jc w:val="left"/>
              <w:rPr>
                <w:b/>
                <w:u w:val="single"/>
              </w:rPr>
            </w:pPr>
            <w:r>
              <w:rPr>
                <w:b/>
                <w:u w:val="single"/>
              </w:rPr>
              <w:t>Indivior Pharmaceuticals Contacts</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sz w:val="4"/>
                <w:szCs w:val="4"/>
              </w:rPr>
            </w:pPr>
            <w:r>
              <w:rPr>
                <w:sz w:val="4"/>
                <w:szCs w:val="4"/>
              </w:rPr>
            </w:r>
          </w:p>
        </w:tc>
      </w:tr>
      <w:tr>
        <w:trPr>
          <w:trHeight w:val="24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Investors</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Jason Thompson</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VP, Investor Relations</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+1 804 402 7123</w:t>
            </w:r>
          </w:p>
          <w:p>
            <w:pPr>
              <w:pStyle w:val="TableContents"/>
              <w:bidi w:val="0"/>
              <w:spacing w:before="0" w:after="20"/>
              <w:jc w:val="left"/>
              <w:rPr>
                <w:rFonts w:ascii="Times New Roman" w:hAnsi="Times New Roman"/>
                <w:sz w:val="20"/>
              </w:rPr>
            </w:pPr>
            <w:r>
              <w:rPr>
                <w:rFonts w:ascii="Times New Roman" w:hAnsi="Times New Roman"/>
                <w:sz w:val="20"/>
              </w:rPr>
              <w:t>jason.thompson@indivior.com</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Media</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Cassie France-Kelly</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VP, Communications</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+1 804 594 0836</w:t>
            </w:r>
          </w:p>
          <w:p>
            <w:pPr>
              <w:pStyle w:val="TableContents"/>
              <w:bidi w:val="0"/>
              <w:spacing w:before="0" w:after="20"/>
              <w:jc w:val="left"/>
              <w:rPr>
                <w:rFonts w:ascii="Times New Roman" w:hAnsi="Times New Roman"/>
                <w:sz w:val="20"/>
              </w:rPr>
            </w:pPr>
            <w:r>
              <w:rPr>
                <w:rFonts w:ascii="Times New Roman" w:hAnsi="Times New Roman"/>
                <w:sz w:val="20"/>
              </w:rPr>
              <w:t>Indiviormediacontacts@indivior.com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expected annual cost synergies of $125 million.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net debt reflects reported net debt as of 6/30/26, adjusted for the addition of $650 million of debt assumed to be drawn to fund the dividend and the dividend payment. Pro forma net debt does not reflect transaction costs, financing fees, or costs to achieve synergies.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net debt (gross debt less cash and cash equivalents) divided by LTM Adjusted EBITDA (Adjusted Operating Earnings), including expected annual cost synergies of at least $125 million.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226</Pages>
  <Words>105727</Words>
  <Characters>575161</Characters>
  <CharactersWithSpaces>681529</CharactersWithSpaces>
  <Paragraphs>3482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