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 SECURITIES AND EXCHANGE COMMISSION</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before="0" w:after="180"/>
        <w:jc w:val="center"/>
        <w:rPr/>
      </w:pPr>
      <w:r>
        <w:rPr/>
      </w:r>
    </w:p>
    <w:p>
      <w:pPr>
        <w:pStyle w:val="TextBody"/>
        <w:bidi w:val="0"/>
        <w:spacing w:lineRule="auto" w:line="288" w:before="0" w:after="0"/>
        <w:jc w:val="center"/>
        <w:rPr>
          <w:rFonts w:ascii="Arial;sans-serif" w:hAnsi="Arial;sans-serif"/>
          <w:b/>
          <w:color w:val="2B2D34"/>
          <w:sz w:val="36"/>
        </w:rPr>
      </w:pPr>
      <w:r>
        <w:rPr>
          <w:rFonts w:ascii="Arial;sans-serif" w:hAnsi="Arial;sans-serif"/>
          <w:b/>
          <w:color w:val="2B2D34"/>
          <w:sz w:val="36"/>
        </w:rPr>
        <w:t>FORM 10-Q</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xml:space="preserve">☑ </w:t>
      </w:r>
      <w:r>
        <w:rPr>
          <w:rFonts w:ascii="Arial;sans-serif" w:hAnsi="Arial;sans-serif"/>
          <w:b w:val="false"/>
          <w:color w:val="000000"/>
          <w:sz w:val="16"/>
        </w:rPr>
        <w:t>QUARTERLY REPORT PURSUANT TO SECTION 13 OR 15(d) OF THE SECURITIES EXCHANGE ACT OF 1934</w:t>
      </w:r>
    </w:p>
    <w:p>
      <w:pPr>
        <w:pStyle w:val="TextBody"/>
        <w:bidi w:val="0"/>
        <w:spacing w:lineRule="auto" w:line="288" w:before="0" w:after="0"/>
        <w:jc w:val="center"/>
        <w:rPr/>
      </w:pPr>
      <w:r>
        <w:rPr>
          <w:rFonts w:ascii="Arial;sans-serif" w:hAnsi="Arial;sans-serif"/>
          <w:b w:val="false"/>
          <w:color w:val="000000"/>
          <w:sz w:val="16"/>
        </w:rPr>
        <w:t>For the quarterly period ended</w:t>
      </w:r>
      <w:r>
        <w:rPr>
          <w:color w:val="000000"/>
        </w:rPr>
        <w:t xml:space="preserve"> </w:t>
      </w:r>
      <w:r>
        <w:rPr>
          <w:rFonts w:ascii="Arial;sans-serif" w:hAnsi="Arial;sans-serif"/>
          <w:b w:val="false"/>
          <w:color w:val="000000"/>
          <w:sz w:val="16"/>
        </w:rPr>
        <w:t>September 30, 2025</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OR</w:t>
      </w:r>
    </w:p>
    <w:p>
      <w:pPr>
        <w:pStyle w:val="TextBody"/>
        <w:bidi w:val="0"/>
        <w:spacing w:lineRule="auto" w:line="288" w:before="0" w:after="180"/>
        <w:jc w:val="center"/>
        <w:rPr>
          <w:color w:val="000000"/>
        </w:rPr>
      </w:pPr>
      <w:r>
        <w:rPr>
          <w:color w:val="000000"/>
        </w:rPr>
        <w:t xml:space="preserve">☐ </w:t>
      </w:r>
      <w:r>
        <w:rPr>
          <w:rFonts w:ascii="Arial;sans-serif" w:hAnsi="Arial;sans-serif"/>
          <w:b w:val="false"/>
          <w:color w:val="000000"/>
          <w:sz w:val="16"/>
        </w:rPr>
        <w:t>TRANSITION REPORT PURSUANT TO SECTION 13 OR 15(d) OF THE SECURITIES EXCHANGE ACT OF 1934</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Commission file number: 001-37835</w:t>
      </w:r>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Indivior PLC</w:t>
      </w:r>
    </w:p>
    <w:p>
      <w:pPr>
        <w:pStyle w:val="TextBody"/>
        <w:bidi w:val="0"/>
        <w:spacing w:lineRule="auto" w:line="288" w:before="0" w:after="0"/>
        <w:jc w:val="center"/>
        <w:rPr>
          <w:rFonts w:ascii="Arial;sans-serif" w:hAnsi="Arial;sans-serif"/>
          <w:b w:val="false"/>
          <w:color w:val="2B2D34"/>
          <w:sz w:val="16"/>
        </w:rPr>
      </w:pPr>
      <w:r>
        <w:rPr>
          <w:rFonts w:ascii="Arial;sans-serif" w:hAnsi="Arial;sans-serif"/>
          <w:b w:val="false"/>
          <w:color w:val="2B2D34"/>
          <w:sz w:val="16"/>
        </w:rPr>
        <w:t>(Exact name of registrant as specified in its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78"/>
        <w:gridCol w:w="1242"/>
        <w:gridCol w:w="1248"/>
        <w:gridCol w:w="1224"/>
        <w:gridCol w:w="1224"/>
        <w:gridCol w:w="1227"/>
        <w:gridCol w:w="745"/>
        <w:gridCol w:w="745"/>
        <w:gridCol w:w="1072"/>
      </w:tblGrid>
      <w:tr>
        <w:trPr/>
        <w:tc>
          <w:tcPr>
            <w:tcW w:w="147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3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England and Wales</w:t>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98-1204773</w:t>
            </w:r>
          </w:p>
        </w:tc>
      </w:tr>
      <w:tr>
        <w:trPr/>
        <w:tc>
          <w:tcPr>
            <w:tcW w:w="39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State or other jurisdiction of </w:t>
            </w:r>
            <w:r>
              <w:rPr>
                <w:rFonts w:ascii="Arial;sans-serif" w:hAnsi="Arial;sans-serif"/>
                <w:b w:val="false"/>
                <w:color w:val="2B2D34"/>
                <w:sz w:val="18"/>
              </w:rPr>
              <w:t>incorporation or organization</w:t>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3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10710 Midlothian Turnpike, Suite 125</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North Chesterfield, VA 23235</w:t>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offices)(zip code)</w:t>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(804) 379-1040</w:t>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23"/>
        <w:gridCol w:w="1106"/>
        <w:gridCol w:w="1101"/>
        <w:gridCol w:w="302"/>
        <w:gridCol w:w="302"/>
        <w:gridCol w:w="302"/>
        <w:gridCol w:w="505"/>
        <w:gridCol w:w="505"/>
        <w:gridCol w:w="471"/>
        <w:gridCol w:w="302"/>
        <w:gridCol w:w="302"/>
        <w:gridCol w:w="302"/>
        <w:gridCol w:w="995"/>
        <w:gridCol w:w="995"/>
        <w:gridCol w:w="1392"/>
      </w:tblGrid>
      <w:tr>
        <w:trPr/>
        <w:tc>
          <w:tcPr>
            <w:tcW w:w="132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61" w:before="0" w:after="0"/>
              <w:jc w:val="left"/>
              <w:rPr>
                <w:rFonts w:ascii="Arial;sans-serif" w:hAnsi="Arial;sans-serif"/>
                <w:b w:val="false"/>
                <w:color w:val="2B2D34"/>
                <w:sz w:val="20"/>
              </w:rPr>
            </w:pPr>
            <w:r>
              <w:rPr>
                <w:rFonts w:ascii="Arial;sans-serif" w:hAnsi="Arial;sans-serif"/>
                <w:b w:val="false"/>
                <w:color w:val="2B2D34"/>
                <w:sz w:val="20"/>
              </w:rPr>
              <w:t>Securities Registered pursuant to Section 12(b) of the Act:</w:t>
            </w:r>
          </w:p>
        </w:tc>
      </w:tr>
      <w:tr>
        <w:trPr/>
        <w:tc>
          <w:tcPr>
            <w:tcW w:w="3530" w:type="dxa"/>
            <w:gridSpan w:val="3"/>
            <w:tcBorders/>
            <w:tcMar>
              <w:top w:w="0" w:type="dxa"/>
              <w:left w:w="0" w:type="dxa"/>
              <w:bottom w:w="0" w:type="dxa"/>
              <w:right w:w="0" w:type="dxa"/>
            </w:tcMar>
            <w:vAlign w:val="center"/>
          </w:tcPr>
          <w:p>
            <w:pPr>
              <w:pStyle w:val="TableContents"/>
              <w:bidi w:val="0"/>
              <w:spacing w:lineRule="auto" w:line="261" w:before="0" w:after="0"/>
              <w:jc w:val="left"/>
              <w:rPr>
                <w:rFonts w:ascii="Arial;sans-serif" w:hAnsi="Arial;sans-serif"/>
                <w:b w:val="false"/>
                <w:color w:val="2B2D34"/>
                <w:sz w:val="18"/>
                <w:u w:val="single"/>
              </w:rPr>
            </w:pPr>
            <w:r>
              <w:rPr>
                <w:rFonts w:ascii="Arial;sans-serif" w:hAnsi="Arial;sans-serif"/>
                <w:b w:val="false"/>
                <w:color w:val="2B2D34"/>
                <w:sz w:val="18"/>
                <w:u w:val="single"/>
              </w:rPr>
              <w:t>Title of each class</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B2D34"/>
                <w:sz w:val="18"/>
                <w:u w:val="single"/>
              </w:rPr>
            </w:pPr>
            <w:r>
              <w:rPr>
                <w:rFonts w:ascii="Arial;sans-serif" w:hAnsi="Arial;sans-serif"/>
                <w:b w:val="false"/>
                <w:color w:val="2B2D34"/>
                <w:sz w:val="18"/>
                <w:u w:val="single"/>
              </w:rPr>
              <w:t>Trading Symbol(s)</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61" w:before="0" w:after="0"/>
              <w:jc w:val="left"/>
              <w:rPr>
                <w:rFonts w:ascii="Arial;sans-serif" w:hAnsi="Arial;sans-serif"/>
                <w:b w:val="false"/>
                <w:color w:val="2B2D34"/>
                <w:sz w:val="18"/>
                <w:u w:val="single"/>
              </w:rPr>
            </w:pPr>
            <w:r>
              <w:rPr>
                <w:rFonts w:ascii="Arial;sans-serif" w:hAnsi="Arial;sans-serif"/>
                <w:b w:val="false"/>
                <w:color w:val="2B2D34"/>
                <w:sz w:val="18"/>
                <w:u w:val="single"/>
              </w:rPr>
              <w:t>Name of each exchange on which registered</w:t>
            </w:r>
          </w:p>
        </w:tc>
      </w:tr>
      <w:tr>
        <w:trPr/>
        <w:tc>
          <w:tcPr>
            <w:tcW w:w="35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Ordinary shares, $0.50 nominal value per share</w:t>
            </w:r>
          </w:p>
        </w:tc>
        <w:tc>
          <w:tcPr>
            <w:tcW w:w="90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INDV</w:t>
            </w:r>
          </w:p>
        </w:tc>
        <w:tc>
          <w:tcPr>
            <w:tcW w:w="90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0" w:after="18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85" w:type="dxa"/>
        <w:jc w:val="center"/>
        <w:tblInd w:w="0" w:type="dxa"/>
        <w:tblLayout w:type="fixed"/>
        <w:tblCellMar>
          <w:top w:w="28" w:type="dxa"/>
          <w:left w:w="28" w:type="dxa"/>
          <w:bottom w:w="28" w:type="dxa"/>
          <w:right w:w="28" w:type="dxa"/>
        </w:tblCellMar>
      </w:tblPr>
      <w:tblGrid>
        <w:gridCol w:w="124"/>
        <w:gridCol w:w="109"/>
        <w:gridCol w:w="109"/>
        <w:gridCol w:w="644"/>
        <w:gridCol w:w="644"/>
        <w:gridCol w:w="646"/>
        <w:gridCol w:w="109"/>
        <w:gridCol w:w="109"/>
        <w:gridCol w:w="109"/>
        <w:gridCol w:w="109"/>
        <w:gridCol w:w="109"/>
        <w:gridCol w:w="109"/>
        <w:gridCol w:w="688"/>
        <w:gridCol w:w="688"/>
        <w:gridCol w:w="9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Yes ☐ No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October 1, 2025, the number of outstanding ordinary shares was 124,853,897.</w:t>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Arial;sans-serif" w:hAnsi="Arial;sans-serif"/>
          <w:b/>
          <w:color w:val="000000"/>
          <w:sz w:val="20"/>
        </w:rPr>
      </w:pPr>
      <w:bookmarkStart w:id="0" w:name="i9bc44b9d300c4051b26a40d97d98c9e0"/>
      <w:bookmarkEnd w:id="0"/>
      <w:r>
        <w:rPr>
          <w:rFonts w:ascii="Arial;sans-serif" w:hAnsi="Arial;sans-serif"/>
          <w:b/>
          <w:color w:val="000000"/>
          <w:sz w:val="20"/>
        </w:rPr>
        <w:t>Table of Contents</w:t>
      </w:r>
    </w:p>
    <w:p>
      <w:pPr>
        <w:pStyle w:val="TextBody"/>
        <w:bidi w:val="0"/>
        <w:spacing w:before="0" w:after="180"/>
        <w:jc w:val="left"/>
        <w:rPr/>
      </w:pPr>
      <w:r>
        <w:rPr/>
      </w:r>
    </w:p>
    <w:tbl>
      <w:tblPr>
        <w:tblW w:w="8967" w:type="dxa"/>
        <w:jc w:val="left"/>
        <w:tblInd w:w="0" w:type="dxa"/>
        <w:tblLayout w:type="fixed"/>
        <w:tblCellMar>
          <w:top w:w="28" w:type="dxa"/>
          <w:left w:w="28" w:type="dxa"/>
          <w:bottom w:w="28" w:type="dxa"/>
          <w:right w:w="28" w:type="dxa"/>
        </w:tblCellMar>
      </w:tblPr>
      <w:tblGrid>
        <w:gridCol w:w="3109"/>
        <w:gridCol w:w="2737"/>
        <w:gridCol w:w="2749"/>
        <w:gridCol w:w="109"/>
        <w:gridCol w:w="109"/>
        <w:gridCol w:w="154"/>
      </w:tblGrid>
      <w:tr>
        <w:trPr/>
        <w:tc>
          <w:tcPr>
            <w:tcW w:w="3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c44b9d300c4051b26a40d97d98c9e0">
              <w:r>
                <w:rPr>
                  <w:rStyle w:val="InternetLink"/>
                  <w:rFonts w:ascii="Arial;sans-serif" w:hAnsi="Arial;sans-serif"/>
                  <w:b w:val="false"/>
                  <w:strike w:val="false"/>
                  <w:dstrike w:val="false"/>
                  <w:color w:val="000000"/>
                  <w:sz w:val="20"/>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bc44b9d300c4051b26a40d97d98c9e0">
              <w:r>
                <w:rPr>
                  <w:rStyle w:val="InternetLink"/>
                  <w:rFonts w:ascii="Arial;sans-serif" w:hAnsi="Arial;sans-serif"/>
                  <w:b w:val="false"/>
                  <w:strike w:val="false"/>
                  <w:dstrike w:val="false"/>
                  <w:color w:val="000000"/>
                  <w:sz w:val="20"/>
                  <w:u w:val="none"/>
                  <w:effect w:val="none"/>
                </w:rPr>
                <w:t>1</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0128688e866442eaef36f7602f96fc0">
              <w:r>
                <w:rPr>
                  <w:rStyle w:val="InternetLink"/>
                  <w:rFonts w:ascii="Arial;sans-serif" w:hAnsi="Arial;sans-serif"/>
                  <w:b w:val="false"/>
                  <w:strike w:val="false"/>
                  <w:dstrike w:val="false"/>
                  <w:color w:val="000000"/>
                  <w:sz w:val="20"/>
                  <w:u w:val="none"/>
                  <w:effect w:val="non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0128688e866442eaef36f7602f96fc0">
              <w:r>
                <w:rPr>
                  <w:rStyle w:val="InternetLink"/>
                  <w:rFonts w:ascii="Arial;sans-serif" w:hAnsi="Arial;sans-serif"/>
                  <w:b w:val="false"/>
                  <w:strike w:val="false"/>
                  <w:dstrike w:val="false"/>
                  <w:color w:val="000000"/>
                  <w:sz w:val="20"/>
                  <w:u w:val="none"/>
                  <w:effect w:val="none"/>
                </w:rPr>
                <w:t>2</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2aca2d55d3f4af59de47ee53ddb8f15">
              <w:r>
                <w:rPr>
                  <w:rStyle w:val="InternetLink"/>
                  <w:rFonts w:ascii="Arial;sans-serif" w:hAnsi="Arial;sans-serif"/>
                  <w:b w:val="false"/>
                  <w:strike w:val="false"/>
                  <w:dstrike w:val="false"/>
                  <w:color w:val="000000"/>
                  <w:sz w:val="20"/>
                  <w:u w:val="none"/>
                  <w:effect w:val="none"/>
                </w:rPr>
                <w:t>Item 1. Unaudited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2aca2d55d3f4af59de47ee53ddb8f15">
              <w:r>
                <w:rPr>
                  <w:rStyle w:val="InternetLink"/>
                  <w:rFonts w:ascii="Arial;sans-serif" w:hAnsi="Arial;sans-serif"/>
                  <w:b w:val="false"/>
                  <w:strike w:val="false"/>
                  <w:dstrike w:val="false"/>
                  <w:color w:val="000000"/>
                  <w:sz w:val="20"/>
                  <w:u w:val="none"/>
                  <w:effect w:val="none"/>
                </w:rPr>
                <w:t>2</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ba43510da74ee8ad77a2f02eeafcdd">
              <w:r>
                <w:rPr>
                  <w:rStyle w:val="InternetLink"/>
                  <w:rFonts w:ascii="Arial;sans-serif" w:hAnsi="Arial;sans-serif"/>
                  <w:b w:val="false"/>
                  <w:strike w:val="false"/>
                  <w:dstrike w:val="false"/>
                  <w:color w:val="000000"/>
                  <w:sz w:val="20"/>
                  <w:u w:val="none"/>
                  <w:effect w:val="non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fba43510da74ee8ad77a2f02eeafcdd">
              <w:r>
                <w:rPr>
                  <w:rStyle w:val="InternetLink"/>
                  <w:rFonts w:ascii="Arial;sans-serif" w:hAnsi="Arial;sans-serif"/>
                  <w:b w:val="false"/>
                  <w:strike w:val="false"/>
                  <w:dstrike w:val="false"/>
                  <w:color w:val="000000"/>
                  <w:sz w:val="20"/>
                  <w:u w:val="none"/>
                  <w:effect w:val="none"/>
                </w:rPr>
                <w:t>25</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6d29fb751342c0b34e90cc010065a5">
              <w:r>
                <w:rPr>
                  <w:rStyle w:val="InternetLink"/>
                  <w:rFonts w:ascii="Arial;sans-serif" w:hAnsi="Arial;sans-serif"/>
                  <w:b w:val="false"/>
                  <w:strike w:val="false"/>
                  <w:dstrike w:val="false"/>
                  <w:color w:val="000000"/>
                  <w:sz w:val="20"/>
                  <w:u w:val="none"/>
                  <w:effect w:val="non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6d29fb751342c0b34e90cc010065a5">
              <w:r>
                <w:rPr>
                  <w:rStyle w:val="InternetLink"/>
                  <w:rFonts w:ascii="Arial;sans-serif" w:hAnsi="Arial;sans-serif"/>
                  <w:b w:val="false"/>
                  <w:strike w:val="false"/>
                  <w:dstrike w:val="false"/>
                  <w:color w:val="000000"/>
                  <w:sz w:val="20"/>
                  <w:u w:val="none"/>
                  <w:effect w:val="none"/>
                </w:rPr>
                <w:t>32</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fc600a1176403e89ef1a537085b9ee">
              <w:r>
                <w:rPr>
                  <w:rStyle w:val="InternetLink"/>
                  <w:rFonts w:ascii="Arial;sans-serif" w:hAnsi="Arial;sans-serif"/>
                  <w:b w:val="false"/>
                  <w:strike w:val="false"/>
                  <w:dstrike w:val="false"/>
                  <w:color w:val="000000"/>
                  <w:sz w:val="20"/>
                  <w:u w:val="none"/>
                  <w:effect w:val="non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3fc600a1176403e89ef1a537085b9ee">
              <w:r>
                <w:rPr>
                  <w:rStyle w:val="InternetLink"/>
                  <w:rFonts w:ascii="Arial;sans-serif" w:hAnsi="Arial;sans-serif"/>
                  <w:b w:val="false"/>
                  <w:strike w:val="false"/>
                  <w:dstrike w:val="false"/>
                  <w:color w:val="000000"/>
                  <w:sz w:val="20"/>
                  <w:u w:val="none"/>
                  <w:effect w:val="none"/>
                </w:rPr>
                <w:t>32</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a5de6b687dd4fd9b2a39f202b08a9a2">
              <w:r>
                <w:rPr>
                  <w:rStyle w:val="InternetLink"/>
                  <w:rFonts w:ascii="Arial;sans-serif" w:hAnsi="Arial;sans-serif"/>
                  <w:b w:val="false"/>
                  <w:strike w:val="false"/>
                  <w:dstrike w:val="false"/>
                  <w:color w:val="000000"/>
                  <w:sz w:val="20"/>
                  <w:u w:val="none"/>
                  <w:effect w:val="non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a5de6b687dd4fd9b2a39f202b08a9a2">
              <w:r>
                <w:rPr>
                  <w:rStyle w:val="InternetLink"/>
                  <w:rFonts w:ascii="Arial;sans-serif" w:hAnsi="Arial;sans-serif"/>
                  <w:b w:val="false"/>
                  <w:strike w:val="false"/>
                  <w:dstrike w:val="false"/>
                  <w:color w:val="000000"/>
                  <w:sz w:val="20"/>
                  <w:u w:val="none"/>
                  <w:effect w:val="none"/>
                </w:rPr>
                <w:t>33</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3e040268c6b4e6ba918986e0e52cb94">
              <w:r>
                <w:rPr>
                  <w:rStyle w:val="InternetLink"/>
                  <w:rFonts w:ascii="Arial;sans-serif" w:hAnsi="Arial;sans-serif"/>
                  <w:b w:val="false"/>
                  <w:strike w:val="false"/>
                  <w:dstrike w:val="false"/>
                  <w:color w:val="000000"/>
                  <w:sz w:val="20"/>
                  <w:u w:val="none"/>
                  <w:effect w:val="non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e040268c6b4e6ba918986e0e52cb94">
              <w:r>
                <w:rPr>
                  <w:rStyle w:val="InternetLink"/>
                  <w:rFonts w:ascii="Arial;sans-serif" w:hAnsi="Arial;sans-serif"/>
                  <w:b w:val="false"/>
                  <w:strike w:val="false"/>
                  <w:dstrike w:val="false"/>
                  <w:color w:val="000000"/>
                  <w:sz w:val="20"/>
                  <w:u w:val="none"/>
                  <w:effect w:val="none"/>
                </w:rPr>
                <w:t>33</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cb11051e1b4eeb997ddeeb14278ba4">
              <w:r>
                <w:rPr>
                  <w:rStyle w:val="InternetLink"/>
                  <w:rFonts w:ascii="Arial;sans-serif" w:hAnsi="Arial;sans-serif"/>
                  <w:b w:val="false"/>
                  <w:strike w:val="false"/>
                  <w:dstrike w:val="false"/>
                  <w:color w:val="000000"/>
                  <w:sz w:val="20"/>
                  <w:u w:val="none"/>
                  <w:effect w:val="non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cb11051e1b4eeb997ddeeb14278ba4">
              <w:r>
                <w:rPr>
                  <w:rStyle w:val="InternetLink"/>
                  <w:rFonts w:ascii="Arial;sans-serif" w:hAnsi="Arial;sans-serif"/>
                  <w:b w:val="false"/>
                  <w:strike w:val="false"/>
                  <w:dstrike w:val="false"/>
                  <w:color w:val="000000"/>
                  <w:sz w:val="20"/>
                  <w:u w:val="none"/>
                  <w:effect w:val="none"/>
                </w:rPr>
                <w:t>33</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221d6f5a7848749358e5c1432b1174">
              <w:r>
                <w:rPr>
                  <w:rStyle w:val="InternetLink"/>
                  <w:rFonts w:ascii="Arial;sans-serif" w:hAnsi="Arial;sans-serif"/>
                  <w:b w:val="false"/>
                  <w:strike w:val="false"/>
                  <w:dstrike w:val="false"/>
                  <w:color w:val="000000"/>
                  <w:sz w:val="20"/>
                  <w:u w:val="none"/>
                  <w:effect w:val="non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221d6f5a7848749358e5c1432b1174">
              <w:r>
                <w:rPr>
                  <w:rStyle w:val="InternetLink"/>
                  <w:rFonts w:ascii="Arial;sans-serif" w:hAnsi="Arial;sans-serif"/>
                  <w:b w:val="false"/>
                  <w:strike w:val="false"/>
                  <w:dstrike w:val="false"/>
                  <w:color w:val="000000"/>
                  <w:sz w:val="20"/>
                  <w:u w:val="none"/>
                  <w:effect w:val="none"/>
                </w:rPr>
                <w:t>33</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0845a9a0474ed0b605c0f3ea12ddb5">
              <w:r>
                <w:rPr>
                  <w:rStyle w:val="InternetLink"/>
                  <w:rFonts w:ascii="Arial;sans-serif" w:hAnsi="Arial;sans-serif"/>
                  <w:b w:val="false"/>
                  <w:strike w:val="false"/>
                  <w:dstrike w:val="false"/>
                  <w:color w:val="000000"/>
                  <w:sz w:val="20"/>
                  <w:u w:val="none"/>
                  <w:effect w:val="non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80845a9a0474ed0b605c0f3ea12ddb5">
              <w:r>
                <w:rPr>
                  <w:rStyle w:val="InternetLink"/>
                  <w:rFonts w:ascii="Arial;sans-serif" w:hAnsi="Arial;sans-serif"/>
                  <w:b w:val="false"/>
                  <w:strike w:val="false"/>
                  <w:dstrike w:val="false"/>
                  <w:color w:val="000000"/>
                  <w:sz w:val="20"/>
                  <w:u w:val="none"/>
                  <w:effect w:val="none"/>
                </w:rPr>
                <w:t>33</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2e62525941244059fb0f0cdab35f442">
              <w:r>
                <w:rPr>
                  <w:rStyle w:val="InternetLink"/>
                  <w:rFonts w:ascii="Arial;sans-serif" w:hAnsi="Arial;sans-serif"/>
                  <w:b w:val="false"/>
                  <w:strike w:val="false"/>
                  <w:dstrike w:val="false"/>
                  <w:color w:val="000000"/>
                  <w:sz w:val="20"/>
                  <w:u w:val="none"/>
                  <w:effect w:val="non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2e62525941244059fb0f0cdab35f442">
              <w:r>
                <w:rPr>
                  <w:rStyle w:val="InternetLink"/>
                  <w:rFonts w:ascii="Arial;sans-serif" w:hAnsi="Arial;sans-serif"/>
                  <w:b w:val="false"/>
                  <w:strike w:val="false"/>
                  <w:dstrike w:val="false"/>
                  <w:color w:val="000000"/>
                  <w:sz w:val="20"/>
                  <w:u w:val="none"/>
                  <w:effect w:val="none"/>
                </w:rPr>
                <w:t>33</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f5365963c14471abe4b0a7550524ba">
              <w:r>
                <w:rPr>
                  <w:rStyle w:val="InternetLink"/>
                  <w:rFonts w:ascii="Arial;sans-serif" w:hAnsi="Arial;sans-serif"/>
                  <w:b w:val="false"/>
                  <w:strike w:val="false"/>
                  <w:dstrike w:val="false"/>
                  <w:color w:val="000000"/>
                  <w:sz w:val="20"/>
                  <w:u w:val="none"/>
                  <w:effect w:val="non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cf5365963c14471abe4b0a7550524ba">
              <w:r>
                <w:rPr>
                  <w:rStyle w:val="InternetLink"/>
                  <w:rFonts w:ascii="Arial;sans-serif" w:hAnsi="Arial;sans-serif"/>
                  <w:b w:val="false"/>
                  <w:strike w:val="false"/>
                  <w:dstrike w:val="false"/>
                  <w:color w:val="000000"/>
                  <w:sz w:val="20"/>
                  <w:u w:val="none"/>
                  <w:effect w:val="none"/>
                </w:rPr>
                <w:t>33</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e7210dd38b40bdaf0cb2496741c213">
              <w:r>
                <w:rPr>
                  <w:rStyle w:val="InternetLink"/>
                  <w:rFonts w:ascii="Arial;sans-serif" w:hAnsi="Arial;sans-serif"/>
                  <w:b w:val="false"/>
                  <w:strike w:val="false"/>
                  <w:dstrike w:val="false"/>
                  <w:color w:val="000000"/>
                  <w:sz w:val="20"/>
                  <w:u w:val="none"/>
                  <w:effect w:val="non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e7210dd38b40bdaf0cb2496741c213">
              <w:r>
                <w:rPr>
                  <w:rStyle w:val="InternetLink"/>
                  <w:rFonts w:ascii="Arial;sans-serif" w:hAnsi="Arial;sans-serif"/>
                  <w:b w:val="false"/>
                  <w:strike w:val="false"/>
                  <w:dstrike w:val="false"/>
                  <w:color w:val="000000"/>
                  <w:sz w:val="20"/>
                  <w:u w:val="none"/>
                  <w:effect w:val="none"/>
                </w:rPr>
                <w:t>34</w:t>
              </w:r>
            </w:hyperlink>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836058b11e4c9fb668f96cbdd2b8ec">
              <w:r>
                <w:rPr>
                  <w:rStyle w:val="InternetLink"/>
                  <w:rFonts w:ascii="Arial;sans-serif" w:hAnsi="Arial;sans-serif"/>
                  <w:b w:val="false"/>
                  <w:strike w:val="false"/>
                  <w:dstrike w:val="false"/>
                  <w:color w:val="000000"/>
                  <w:sz w:val="20"/>
                  <w:u w:val="none"/>
                  <w:effect w:val="non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836058b11e4c9fb668f96cbdd2b8ec">
              <w:r>
                <w:rPr>
                  <w:rStyle w:val="InternetLink"/>
                  <w:rFonts w:ascii="Arial;sans-serif" w:hAnsi="Arial;sans-serif"/>
                  <w:b w:val="false"/>
                  <w:strike w:val="false"/>
                  <w:dstrike w:val="false"/>
                  <w:color w:val="000000"/>
                  <w:sz w:val="20"/>
                  <w:u w:val="none"/>
                  <w:effect w:val="none"/>
                </w:rPr>
                <w:t>35</w:t>
              </w:r>
            </w:hyperlink>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shd w:fill="FFFFFF" w:val="clear"/>
        </w:rPr>
      </w:pPr>
      <w:r>
        <w:rPr>
          <w:rFonts w:ascii="Arial;sans-serif" w:hAnsi="Arial;sans-serif"/>
          <w:b/>
          <w:color w:val="000000"/>
          <w:sz w:val="20"/>
          <w:shd w:fill="FFFFFF" w:val="clear"/>
        </w:rPr>
        <w:t>Important cautionary note regarding forward-looking statements</w:t>
      </w:r>
    </w:p>
    <w:p>
      <w:pPr>
        <w:pStyle w:val="TextBody"/>
        <w:bidi w:val="0"/>
        <w:spacing w:lineRule="auto" w:line="288"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Certain statements contained herein, as well as in other filings we make with the SEC and other written and oral information we release, regarding our performance or other events or developments in the future constitute “forward-looking statements” as defined in the Private Securities Litigation Reform Act of 1995. Forward-looking statements include, among other things, express and implied statements pertaining to the Company’s financial guidance including revenue, gross margin and adjusted EBITDA for 2025 and its medium- and long-term growth outlook; expected levels of future rebate payments, research and development expenses, and capital expenditures; potential future investment opportunities; and statements containing the words "believe," "anticipate," "plan," "expect," "intend," "estimate," "forecast," "strategy," "target," "goal," "guidance," "outlook," "potential," "project," "priority," "may," "will," "should," "would," "could," "can," the negatives thereof, and variations thereon and similar expressions. By their nature, forward-looking statements involve risks and uncertainties as they relate to events or circumstances that may or may not occur in the future. </w:t>
      </w:r>
    </w:p>
    <w:p>
      <w:pPr>
        <w:pStyle w:val="TextBody"/>
        <w:bidi w:val="0"/>
        <w:spacing w:lineRule="auto" w:line="288"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Actual results may differ materially from those expressed or implied in such statements because they relate to future events. For information about some of the risks and important factors that could affect our future results and financial condition, see the discussion of “Risk Factors” in our Annual Report on Form 10-K filed March 3, 2025, our Quarterly Reports on Form 10-Q filed May 1, 2025 and July 31, 2025, Part II Item 1A herein, and our other filings with the U.S. Securities and Exchange Commission.</w:t>
      </w:r>
    </w:p>
    <w:p>
      <w:pPr>
        <w:pStyle w:val="TextBody"/>
        <w:bidi w:val="0"/>
        <w:spacing w:lineRule="auto" w:line="288"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have based the forward-looking statements in this report on our current expectations and beliefs concerning future events. Forward-looking statements contained in this report speak only as of the day they are made and, except as required by law, we undertake no obligation to update or revise any forward-looking statement, whether due to new information, future developments or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Arial;sans-serif" w:hAnsi="Arial;sans-serif"/>
          <w:b/>
          <w:color w:val="000000"/>
          <w:sz w:val="20"/>
        </w:rPr>
      </w:pPr>
      <w:bookmarkStart w:id="1" w:name="i90128688e866442eaef36f7602f96fc0"/>
      <w:bookmarkEnd w:id="1"/>
      <w:r>
        <w:rPr>
          <w:rFonts w:ascii="Arial;sans-serif" w:hAnsi="Arial;sans-serif"/>
          <w:b/>
          <w:color w:val="000000"/>
          <w:sz w:val="20"/>
        </w:rPr>
        <w:t>PART I - FINANCIAL INFORMATION</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2" w:name="i22aca2d55d3f4af59de47ee53ddb8f15"/>
      <w:bookmarkEnd w:id="2"/>
      <w:r>
        <w:rPr>
          <w:rFonts w:ascii="Arial;sans-serif" w:hAnsi="Arial;sans-serif"/>
          <w:b/>
          <w:color w:val="000000"/>
          <w:sz w:val="20"/>
        </w:rPr>
        <w:t>Item 1. Unaudited Financial Statements.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Index to Unaudited Condensed Consolidated Financial Statements</w:t>
      </w:r>
    </w:p>
    <w:p>
      <w:pPr>
        <w:pStyle w:val="TextBody"/>
        <w:bidi w:val="0"/>
        <w:spacing w:before="0" w:after="180"/>
        <w:jc w:val="left"/>
        <w:rPr/>
      </w:pPr>
      <w:r>
        <w:rPr/>
      </w:r>
    </w:p>
    <w:tbl>
      <w:tblPr>
        <w:tblW w:w="6657" w:type="dxa"/>
        <w:jc w:val="left"/>
        <w:tblInd w:w="0" w:type="dxa"/>
        <w:tblLayout w:type="fixed"/>
        <w:tblCellMar>
          <w:top w:w="28" w:type="dxa"/>
          <w:left w:w="28" w:type="dxa"/>
          <w:bottom w:w="28" w:type="dxa"/>
          <w:right w:w="28" w:type="dxa"/>
        </w:tblCellMar>
      </w:tblPr>
      <w:tblGrid>
        <w:gridCol w:w="2275"/>
        <w:gridCol w:w="2003"/>
        <w:gridCol w:w="2007"/>
        <w:gridCol w:w="109"/>
        <w:gridCol w:w="109"/>
        <w:gridCol w:w="154"/>
      </w:tblGrid>
      <w:tr>
        <w:trPr/>
        <w:tc>
          <w:tcPr>
            <w:tcW w:w="2275"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Condensed Consolidated Statements of Operations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55e7e40867404eb1146afccc42c780_25">
              <w:r>
                <w:rPr>
                  <w:rStyle w:val="InternetLink"/>
                  <w:rFonts w:ascii="Arial;sans-serif" w:hAnsi="Arial;sans-serif"/>
                  <w:b w:val="false"/>
                  <w:color w:val="0000FF"/>
                  <w:sz w:val="20"/>
                  <w:u w:val="single"/>
                </w:rPr>
                <w:t>3</w:t>
              </w:r>
            </w:hyperlink>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Condensed Consolidated Statements of Comprehensive Income (Loss)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55e7e40867404eb1146afccc42c780_28">
              <w:r>
                <w:rPr>
                  <w:rStyle w:val="InternetLink"/>
                  <w:rFonts w:ascii="Arial;sans-serif" w:hAnsi="Arial;sans-serif"/>
                  <w:b w:val="false"/>
                  <w:color w:val="0000FF"/>
                  <w:sz w:val="20"/>
                  <w:u w:val="single"/>
                </w:rPr>
                <w:t>4</w:t>
              </w:r>
            </w:hyperlink>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Balance Sheets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55e7e40867404eb1146afccc42c780_31">
              <w:r>
                <w:rPr>
                  <w:rStyle w:val="InternetLink"/>
                  <w:rFonts w:ascii="Arial;sans-serif" w:hAnsi="Arial;sans-serif"/>
                  <w:b w:val="false"/>
                  <w:color w:val="0000FF"/>
                  <w:sz w:val="20"/>
                  <w:u w:val="single"/>
                </w:rPr>
                <w:t>5</w:t>
              </w:r>
            </w:hyperlink>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Stockholders' Deficit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55e7e40867404eb1146afccc42c780_34">
              <w:r>
                <w:rPr>
                  <w:rStyle w:val="InternetLink"/>
                  <w:rFonts w:ascii="Arial;sans-serif" w:hAnsi="Arial;sans-serif"/>
                  <w:b w:val="false"/>
                  <w:color w:val="0000FF"/>
                  <w:sz w:val="20"/>
                  <w:u w:val="single"/>
                </w:rPr>
                <w:t>6</w:t>
              </w:r>
            </w:hyperlink>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Cash Flow</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55e7e40867404eb1146afccc42c780_37">
              <w:r>
                <w:rPr>
                  <w:rStyle w:val="InternetLink"/>
                  <w:rFonts w:ascii="Arial;sans-serif" w:hAnsi="Arial;sans-serif"/>
                  <w:b w:val="false"/>
                  <w:color w:val="0000FF"/>
                  <w:sz w:val="20"/>
                  <w:u w:val="single"/>
                </w:rPr>
                <w:t>8</w:t>
              </w:r>
            </w:hyperlink>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to Condensed Consolidated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55e7e40867404eb1146afccc42c780_43">
              <w:r>
                <w:rPr>
                  <w:rStyle w:val="InternetLink"/>
                  <w:rFonts w:ascii="Arial;sans-serif" w:hAnsi="Arial;sans-serif"/>
                  <w:b w:val="false"/>
                  <w:color w:val="0000FF"/>
                  <w:sz w:val="20"/>
                  <w:u w:val="single"/>
                </w:rPr>
                <w:t>9</w:t>
              </w:r>
            </w:hyperlink>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53"/>
        <w:gridCol w:w="1289"/>
        <w:gridCol w:w="1286"/>
        <w:gridCol w:w="109"/>
        <w:gridCol w:w="109"/>
        <w:gridCol w:w="109"/>
        <w:gridCol w:w="280"/>
        <w:gridCol w:w="719"/>
        <w:gridCol w:w="144"/>
        <w:gridCol w:w="144"/>
        <w:gridCol w:w="144"/>
        <w:gridCol w:w="144"/>
        <w:gridCol w:w="280"/>
        <w:gridCol w:w="719"/>
        <w:gridCol w:w="144"/>
        <w:gridCol w:w="109"/>
        <w:gridCol w:w="109"/>
        <w:gridCol w:w="109"/>
        <w:gridCol w:w="265"/>
        <w:gridCol w:w="681"/>
        <w:gridCol w:w="136"/>
        <w:gridCol w:w="136"/>
        <w:gridCol w:w="136"/>
        <w:gridCol w:w="136"/>
        <w:gridCol w:w="265"/>
        <w:gridCol w:w="743"/>
        <w:gridCol w:w="207"/>
      </w:tblGrid>
      <w:tr>
        <w:trPr/>
        <w:tc>
          <w:tcPr>
            <w:tcW w:w="155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w:t>
            </w:r>
          </w:p>
        </w:tc>
      </w:tr>
      <w:tr>
        <w:trPr/>
        <w:tc>
          <w:tcPr>
            <w:tcW w:w="4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314</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307</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881</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889</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702</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707</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in-process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w:t>
            </w:r>
            <w:r>
              <w:rPr>
                <w:color w:val="000000"/>
              </w:rPr>
              <w:t> </w:t>
            </w:r>
          </w:p>
        </w:tc>
        <w:tc>
          <w:tcPr>
            <w:tcW w:w="1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206</w:t>
            </w:r>
            <w:r>
              <w:rPr>
                <w:color w:val="000000"/>
              </w:rPr>
              <w:t> </w:t>
            </w:r>
          </w:p>
        </w:tc>
        <w:tc>
          <w:tcPr>
            <w:tcW w:w="1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521</w:t>
            </w:r>
            <w:r>
              <w:rPr>
                <w:color w:val="000000"/>
              </w:rPr>
              <w:t> </w:t>
            </w:r>
          </w:p>
        </w:tc>
        <w:tc>
          <w:tcPr>
            <w:tcW w:w="1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715</w:t>
            </w:r>
            <w:r>
              <w:rPr>
                <w:color w:val="000000"/>
              </w:rPr>
              <w:t> </w:t>
            </w:r>
          </w:p>
        </w:tc>
        <w:tc>
          <w:tcPr>
            <w:tcW w:w="20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181</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(income)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Interest (income)</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Interest expense</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158</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Income tax expense (benefit)</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w:t>
            </w: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2" w:type="dxa"/>
            <w:gridSpan w:val="21"/>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rFonts w:ascii="Arial;sans-serif" w:hAnsi="Arial;sans-serif"/>
                <w:b w:val="false"/>
                <w:i/>
                <w:color w:val="000000"/>
                <w:sz w:val="10"/>
              </w:rPr>
              <w:t xml:space="preserve">1 </w:t>
            </w:r>
            <w:r>
              <w:rPr>
                <w:rFonts w:ascii="Arial;sans-serif" w:hAnsi="Arial;sans-serif"/>
                <w:b w:val="false"/>
                <w:color w:val="000000"/>
                <w:sz w:val="16"/>
              </w:rPr>
              <w:t>Sign convention modified beginning in Q2 2025 (for all periods presented)</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Shares used in computing earnings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r>
    </w:tbl>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180"/>
        <w:jc w:val="left"/>
        <w:rPr/>
      </w:pPr>
      <w:r>
        <w:rPr/>
      </w:r>
    </w:p>
    <w:tbl>
      <w:tblPr>
        <w:tblW w:w="9966" w:type="dxa"/>
        <w:jc w:val="left"/>
        <w:tblInd w:w="0" w:type="dxa"/>
        <w:tblLayout w:type="fixed"/>
        <w:tblCellMar>
          <w:top w:w="28" w:type="dxa"/>
          <w:left w:w="28" w:type="dxa"/>
          <w:bottom w:w="28" w:type="dxa"/>
          <w:right w:w="28" w:type="dxa"/>
        </w:tblCellMar>
      </w:tblPr>
      <w:tblGrid>
        <w:gridCol w:w="1392"/>
        <w:gridCol w:w="1220"/>
        <w:gridCol w:w="1227"/>
        <w:gridCol w:w="359"/>
        <w:gridCol w:w="640"/>
        <w:gridCol w:w="185"/>
        <w:gridCol w:w="185"/>
        <w:gridCol w:w="185"/>
        <w:gridCol w:w="185"/>
        <w:gridCol w:w="359"/>
        <w:gridCol w:w="640"/>
        <w:gridCol w:w="185"/>
        <w:gridCol w:w="109"/>
        <w:gridCol w:w="109"/>
        <w:gridCol w:w="109"/>
        <w:gridCol w:w="315"/>
        <w:gridCol w:w="718"/>
        <w:gridCol w:w="162"/>
        <w:gridCol w:w="162"/>
        <w:gridCol w:w="162"/>
        <w:gridCol w:w="162"/>
        <w:gridCol w:w="315"/>
        <w:gridCol w:w="651"/>
        <w:gridCol w:w="230"/>
      </w:tblGrid>
      <w:tr>
        <w:trPr/>
        <w:tc>
          <w:tcPr>
            <w:tcW w:w="139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Net income (loss)</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Other comprehensive income, net of tax</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Foreign currency translation </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Total comprehensive income (loss)</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w:t>
            </w:r>
            <w:r>
              <w:rPr>
                <w:color w:val="000000"/>
              </w:rPr>
              <w:t>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See Notes to Condensed Consolidated Financial Statements. </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001" w:type="dxa"/>
        <w:jc w:val="left"/>
        <w:tblInd w:w="0" w:type="dxa"/>
        <w:tblLayout w:type="fixed"/>
        <w:tblCellMar>
          <w:top w:w="28" w:type="dxa"/>
          <w:left w:w="28" w:type="dxa"/>
          <w:bottom w:w="28" w:type="dxa"/>
          <w:right w:w="28" w:type="dxa"/>
        </w:tblCellMar>
      </w:tblPr>
      <w:tblGrid>
        <w:gridCol w:w="2121"/>
        <w:gridCol w:w="1858"/>
        <w:gridCol w:w="1886"/>
        <w:gridCol w:w="418"/>
        <w:gridCol w:w="1282"/>
        <w:gridCol w:w="219"/>
        <w:gridCol w:w="109"/>
        <w:gridCol w:w="109"/>
        <w:gridCol w:w="109"/>
        <w:gridCol w:w="393"/>
        <w:gridCol w:w="1207"/>
        <w:gridCol w:w="290"/>
      </w:tblGrid>
      <w:tr>
        <w:trPr/>
        <w:tc>
          <w:tcPr>
            <w:tcW w:w="2121"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 net of allowances of $2 (2025) and $3 (2024)</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tax receivable</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922</w:t>
            </w: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827</w:t>
            </w:r>
            <w:r>
              <w:rPr>
                <w:color w:val="000000"/>
              </w:rPr>
              <w:t>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investments</w:t>
            </w:r>
          </w:p>
        </w:tc>
        <w:tc>
          <w:tcPr>
            <w:tcW w:w="1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 of use assets, net</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and other intangible assets, net</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1,416</w:t>
            </w: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1,316</w:t>
            </w:r>
            <w:r>
              <w:rPr>
                <w:color w:val="000000"/>
              </w:rPr>
              <w:t>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shareholders' deficit</w:t>
            </w:r>
          </w:p>
        </w:tc>
        <w:tc>
          <w:tcPr>
            <w:tcW w:w="1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rebates and product returns</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litigation settlement expenses, current</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current</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965</w:t>
            </w: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924</w:t>
            </w:r>
            <w:r>
              <w:rPr>
                <w:color w:val="000000"/>
              </w:rPr>
              <w:t>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less current portion</w:t>
            </w:r>
          </w:p>
        </w:tc>
        <w:tc>
          <w:tcPr>
            <w:tcW w:w="1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Accrued litigation settlement expenses, noncurrent</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 liabilities, noncurrent</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1,623</w:t>
            </w: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1,652</w:t>
            </w:r>
            <w:r>
              <w:rPr>
                <w:color w:val="000000"/>
              </w:rPr>
              <w:t>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Commitments and contingencies (Note 12)</w:t>
            </w:r>
          </w:p>
        </w:tc>
        <w:tc>
          <w:tcPr>
            <w:tcW w:w="1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Shareholders' deficit</w:t>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par value $0.50 per share</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Issued shares: 125 (2025) and 125 (2024)</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 repurchase commitment</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shareholders' deficit</w:t>
            </w:r>
          </w:p>
        </w:tc>
        <w:tc>
          <w:tcPr>
            <w:tcW w:w="1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(337)</w:t>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shareholders' deficit</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1,416</w:t>
            </w:r>
            <w:r>
              <w:rPr>
                <w:color w:val="000000"/>
              </w:rPr>
              <w:t>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1,316</w:t>
            </w:r>
            <w:r>
              <w:rPr>
                <w:color w:val="000000"/>
              </w:rPr>
              <w:t>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Deficit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1075" w:type="dxa"/>
        <w:jc w:val="left"/>
        <w:tblInd w:w="0" w:type="dxa"/>
        <w:tblLayout w:type="fixed"/>
        <w:tblCellMar>
          <w:top w:w="28" w:type="dxa"/>
          <w:left w:w="28" w:type="dxa"/>
          <w:bottom w:w="28" w:type="dxa"/>
          <w:right w:w="28" w:type="dxa"/>
        </w:tblCellMar>
      </w:tblPr>
      <w:tblGrid>
        <w:gridCol w:w="857"/>
        <w:gridCol w:w="291"/>
        <w:gridCol w:w="293"/>
        <w:gridCol w:w="240"/>
        <w:gridCol w:w="240"/>
        <w:gridCol w:w="241"/>
        <w:gridCol w:w="109"/>
        <w:gridCol w:w="109"/>
        <w:gridCol w:w="109"/>
        <w:gridCol w:w="236"/>
        <w:gridCol w:w="421"/>
        <w:gridCol w:w="124"/>
        <w:gridCol w:w="109"/>
        <w:gridCol w:w="109"/>
        <w:gridCol w:w="109"/>
        <w:gridCol w:w="253"/>
        <w:gridCol w:w="577"/>
        <w:gridCol w:w="131"/>
        <w:gridCol w:w="109"/>
        <w:gridCol w:w="109"/>
        <w:gridCol w:w="109"/>
        <w:gridCol w:w="344"/>
        <w:gridCol w:w="663"/>
        <w:gridCol w:w="179"/>
        <w:gridCol w:w="109"/>
        <w:gridCol w:w="109"/>
        <w:gridCol w:w="109"/>
        <w:gridCol w:w="436"/>
        <w:gridCol w:w="778"/>
        <w:gridCol w:w="227"/>
        <w:gridCol w:w="109"/>
        <w:gridCol w:w="109"/>
        <w:gridCol w:w="109"/>
        <w:gridCol w:w="328"/>
        <w:gridCol w:w="748"/>
        <w:gridCol w:w="170"/>
        <w:gridCol w:w="109"/>
        <w:gridCol w:w="109"/>
        <w:gridCol w:w="109"/>
        <w:gridCol w:w="333"/>
        <w:gridCol w:w="759"/>
        <w:gridCol w:w="244"/>
      </w:tblGrid>
      <w:tr>
        <w:trPr/>
        <w:tc>
          <w:tcPr>
            <w:tcW w:w="8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 repurchase 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shareholders’ equity (deficit)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Balance, January 1, 2025</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(337)</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Net income</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Other comprehensive income</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Common stock issued</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Common stock repurchased and canceled</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Share-based compensation</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Share repurchase liability movement, net</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Settlement of tax on equity awards</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Balance, March 31, 2025</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(285)</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Net income</w:t>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Other comprehensive income</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Share-based compensation</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Balance, June 30, 2025</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(257)</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Net income</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Common stock issued</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Share-based compensation</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Balance, September 30, 2025</w:t>
            </w:r>
          </w:p>
        </w:tc>
        <w:tc>
          <w:tcPr>
            <w:tcW w:w="7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125</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(346)</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(207)</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See Notes to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Deficit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2710" w:type="dxa"/>
        <w:jc w:val="left"/>
        <w:tblInd w:w="0" w:type="dxa"/>
        <w:tblLayout w:type="fixed"/>
        <w:tblCellMar>
          <w:top w:w="28" w:type="dxa"/>
          <w:left w:w="28" w:type="dxa"/>
          <w:bottom w:w="28" w:type="dxa"/>
          <w:right w:w="28" w:type="dxa"/>
        </w:tblCellMar>
      </w:tblPr>
      <w:tblGrid>
        <w:gridCol w:w="857"/>
        <w:gridCol w:w="291"/>
        <w:gridCol w:w="293"/>
        <w:gridCol w:w="240"/>
        <w:gridCol w:w="240"/>
        <w:gridCol w:w="241"/>
        <w:gridCol w:w="109"/>
        <w:gridCol w:w="109"/>
        <w:gridCol w:w="109"/>
        <w:gridCol w:w="236"/>
        <w:gridCol w:w="421"/>
        <w:gridCol w:w="124"/>
        <w:gridCol w:w="109"/>
        <w:gridCol w:w="109"/>
        <w:gridCol w:w="109"/>
        <w:gridCol w:w="291"/>
        <w:gridCol w:w="519"/>
        <w:gridCol w:w="151"/>
        <w:gridCol w:w="109"/>
        <w:gridCol w:w="109"/>
        <w:gridCol w:w="109"/>
        <w:gridCol w:w="359"/>
        <w:gridCol w:w="640"/>
        <w:gridCol w:w="187"/>
        <w:gridCol w:w="109"/>
        <w:gridCol w:w="109"/>
        <w:gridCol w:w="109"/>
        <w:gridCol w:w="436"/>
        <w:gridCol w:w="778"/>
        <w:gridCol w:w="227"/>
        <w:gridCol w:w="109"/>
        <w:gridCol w:w="109"/>
        <w:gridCol w:w="109"/>
        <w:gridCol w:w="328"/>
        <w:gridCol w:w="748"/>
        <w:gridCol w:w="170"/>
        <w:gridCol w:w="109"/>
        <w:gridCol w:w="109"/>
        <w:gridCol w:w="109"/>
        <w:gridCol w:w="340"/>
        <w:gridCol w:w="775"/>
        <w:gridCol w:w="176"/>
        <w:gridCol w:w="109"/>
        <w:gridCol w:w="109"/>
        <w:gridCol w:w="109"/>
        <w:gridCol w:w="109"/>
        <w:gridCol w:w="109"/>
        <w:gridCol w:w="109"/>
        <w:gridCol w:w="109"/>
        <w:gridCol w:w="109"/>
        <w:gridCol w:w="109"/>
        <w:gridCol w:w="109"/>
        <w:gridCol w:w="109"/>
        <w:gridCol w:w="109"/>
        <w:gridCol w:w="109"/>
        <w:gridCol w:w="109"/>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 repurchase 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shareholders’ equity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Balance, January 1, 2024</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(288)</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Net income</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Other comprehensive loss</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Common stock issued</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Common stock repurchased and canceled</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Share-based compensation</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Share repurchase liability movement, net</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Settlement of tax on equity awards</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Other</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Balance, March 31, 2024</w:t>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Net loss</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Common stock repurchased and canceled</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Share-based compensation</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Share repurchase liability movement, net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Balance, June 30, 2024</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Net income</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Other comprehensive income</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Common stock issued</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Common stock repurchased and canceled</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Share-based compensation</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Share repurchase liability movement, net</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Balance, September 30, 2024</w:t>
            </w:r>
          </w:p>
        </w:tc>
        <w:tc>
          <w:tcPr>
            <w:tcW w:w="72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130</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88</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(421)</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35"/>
        <w:gridCol w:w="1892"/>
        <w:gridCol w:w="1905"/>
        <w:gridCol w:w="109"/>
        <w:gridCol w:w="109"/>
        <w:gridCol w:w="294"/>
        <w:gridCol w:w="294"/>
        <w:gridCol w:w="575"/>
        <w:gridCol w:w="1312"/>
        <w:gridCol w:w="302"/>
        <w:gridCol w:w="109"/>
        <w:gridCol w:w="109"/>
        <w:gridCol w:w="109"/>
        <w:gridCol w:w="211"/>
        <w:gridCol w:w="481"/>
        <w:gridCol w:w="159"/>
      </w:tblGrid>
      <w:tr>
        <w:trPr/>
        <w:tc>
          <w:tcPr>
            <w:tcW w:w="2235"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c>
          <w:tcPr>
            <w:tcW w:w="1178" w:type="dxa"/>
            <w:gridSpan w:val="6"/>
            <w:tcBorders/>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w:t>
            </w: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Adjustments to reconcile net income (loss) to net cash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tangible and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Unrealized loss on equity investments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in-process 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Impact from foreign exchange movements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Change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and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legal and settlement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and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194</w:t>
            </w: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in-process research and development and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investments in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maturities of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provided by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repurchases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of tax on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increase (decrease)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w:t>
            </w:r>
            <w:r>
              <w:rPr>
                <w:color w:val="000000"/>
              </w:rPr>
              <w:t>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Exchange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445</w:t>
            </w:r>
            <w:r>
              <w:rPr>
                <w:color w:val="000000"/>
              </w:rPr>
              <w:t>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(Dollars and shares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1. Business Overview, Basis of Presentation, and Recently Issued Accounting Standards</w:t>
      </w:r>
    </w:p>
    <w:p>
      <w:pPr>
        <w:pStyle w:val="TextBody"/>
        <w:bidi w:val="0"/>
        <w:spacing w:lineRule="auto" w:line="288" w:before="0" w:after="180"/>
        <w:jc w:val="left"/>
        <w:rPr/>
      </w:pPr>
      <w:r>
        <w:rPr>
          <w:rFonts w:ascii="Arial;sans-serif" w:hAnsi="Arial;sans-serif"/>
          <w:b/>
          <w:color w:val="000000"/>
          <w:sz w:val="20"/>
        </w:rPr>
        <w:t>Business Overview</w:t>
      </w:r>
      <w:r>
        <w:rPr>
          <w:color w:val="000000"/>
        </w:rPr>
        <w:t xml:space="preser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Indivior PLC and its subsidiaries (together, "Indivior" or the "Company") is a pharmaceutical company working to help change patients' lives by developing medicines to treat opioid use disorder (OUD). The Company's vision is that all patients will have access to evidence-based treatment for OUD and we are dedicated to transforming OUD from a human crisis to a recognized and treated chronic disease. Building on its portfolio of OUD treatments, Indivior's product candidate pipeline is designed to extend its heritage in this category.</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Basis of Consolidation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accompanying unaudited interim Condensed Consolidated Financial Statements and related notes should be read in conjunction with the audited Consolidated Financial Statements of Indivior PLC and its subsidiaries and related notes as contained in the Company’s Annual Report on Form 10-K for the year ended December 31, 2024. The unaudited interim financial statements include all adjustments (consisting only of normal recurring adjustments) and accruals necessary in the judgment of management for a fair statement of the results for the periods presented.</w:t>
      </w:r>
    </w:p>
    <w:p>
      <w:pPr>
        <w:pStyle w:val="TextBody"/>
        <w:bidi w:val="0"/>
        <w:spacing w:lineRule="auto" w:line="288" w:before="0" w:after="180"/>
        <w:jc w:val="left"/>
        <w:rPr/>
      </w:pPr>
      <w:r>
        <w:rPr>
          <w:rFonts w:ascii="Arial;sans-serif" w:hAnsi="Arial;sans-serif"/>
          <w:b w:val="false"/>
          <w:color w:val="000000"/>
          <w:sz w:val="20"/>
        </w:rPr>
        <w:t xml:space="preserve">The accounting policies of the Company are consistent with those disclosed in </w:t>
      </w:r>
      <w:r>
        <w:rPr>
          <w:rFonts w:ascii="Arial;sans-serif" w:hAnsi="Arial;sans-serif"/>
          <w:b w:val="false"/>
          <w:i/>
          <w:color w:val="000000"/>
          <w:sz w:val="20"/>
        </w:rPr>
        <w:t xml:space="preserve">"Item 1. Financial Statements - Note 2. Summary of Significant Accounting Policies" </w:t>
      </w:r>
      <w:r>
        <w:rPr>
          <w:rFonts w:ascii="Arial;sans-serif" w:hAnsi="Arial;sans-serif"/>
          <w:b w:val="false"/>
          <w:color w:val="000000"/>
          <w:sz w:val="20"/>
        </w:rPr>
        <w:t>of our Annual Report on Form 10-K for the year ended December 31, 2024.</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Columns and rows within tables may not add due to rounding. Percentages and per share data have been calculated using actual, non-rounded figures.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Use of Estimates and Judgments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preparation of Condensed Consolidated Financial Statements in conformity with U.S. GAAP requires management to make estimates and assumptions that affect the amounts reported. Significant estimates are used in determining items such as accruals for returns, incentives and rebates, certain accrued expenses, acquisitions, and ongoing litigation. Actual results may differ from those estimates.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Recently Adopted Accounting Standards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 new accounting standards were adopted during the nine months ended September 30, 2025.</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 xml:space="preserve">Recently Issued Accounting Standards Not Yet Adopted </w:t>
      </w:r>
    </w:p>
    <w:p>
      <w:pPr>
        <w:pStyle w:val="TextBody"/>
        <w:bidi w:val="0"/>
        <w:spacing w:lineRule="auto" w:line="288" w:before="0" w:after="180"/>
        <w:jc w:val="left"/>
        <w:rPr/>
      </w:pPr>
      <w:r>
        <w:rPr>
          <w:rFonts w:ascii="Arial;sans-serif" w:hAnsi="Arial;sans-serif"/>
          <w:b w:val="false"/>
          <w:i/>
          <w:color w:val="000000"/>
          <w:sz w:val="20"/>
        </w:rPr>
        <w:t>ASU 2024-03: Income Statement—Reporting Comprehensive Income—Expense Disaggregation Disclosures (Subtopic 220-40)—Disaggregation of Income Statement Expenses (as clarified by ASU 2025-01)</w:t>
      </w:r>
      <w:r>
        <w:rPr>
          <w:color w:val="000000"/>
        </w:rPr>
        <w:t xml:space="preserve"> </w:t>
      </w:r>
      <w:r>
        <w:rPr>
          <w:rFonts w:ascii="Arial;sans-serif" w:hAnsi="Arial;sans-serif"/>
          <w:b w:val="false"/>
          <w:color w:val="000000"/>
          <w:sz w:val="20"/>
        </w:rPr>
        <w:t>was issued in November 2024, requires disclosure of specified information about certain costs and expenses in the notes to the financial statements and is required to be applied by the Company for fiscal periods beginning after December 15, 2027. As this accounting standard only impacts disclosures, it is not expected to have a material impact on the Company’s financial statements.</w:t>
      </w:r>
    </w:p>
    <w:p>
      <w:pPr>
        <w:pStyle w:val="TextBody"/>
        <w:bidi w:val="0"/>
        <w:spacing w:lineRule="auto" w:line="288" w:before="0" w:after="180"/>
        <w:jc w:val="left"/>
        <w:rPr/>
      </w:pPr>
      <w:r>
        <w:rPr>
          <w:rFonts w:ascii="Arial;sans-serif" w:hAnsi="Arial;sans-serif"/>
          <w:b w:val="false"/>
          <w:i/>
          <w:color w:val="000000"/>
          <w:sz w:val="20"/>
        </w:rPr>
        <w:t>ASU 2025-05: Measurement of Credit Losses for Accounts Receivable and Contract Assets Financial Instruments-Credit Losses (Topic 326): Measurement of Credit Losses for Accounts Receivable and Contract Assets</w:t>
      </w:r>
      <w:r>
        <w:rPr>
          <w:color w:val="000000"/>
        </w:rPr>
        <w:t xml:space="preserve"> </w:t>
      </w:r>
      <w:r>
        <w:rPr>
          <w:rFonts w:ascii="Arial;sans-serif" w:hAnsi="Arial;sans-serif"/>
          <w:b w:val="false"/>
          <w:color w:val="000000"/>
          <w:sz w:val="20"/>
        </w:rPr>
        <w:t>was issued in July 2025 and allows entities to elect a practical expedient that assumes that the current conditions as of the balance sheet date do not change for the remaining life of the asset. ASU No. 2025-05 is effective for annual and interim periods beginning after December 15, 2025, is to be applied on a prospective basis and allows for early adoption. Adoption is not expected to have a material impact on the Company's financial statements.</w:t>
      </w:r>
    </w:p>
    <w:p>
      <w:pPr>
        <w:pStyle w:val="TextBody"/>
        <w:bidi w:val="0"/>
        <w:spacing w:lineRule="auto" w:line="288" w:before="0" w:after="180"/>
        <w:jc w:val="left"/>
        <w:rPr/>
      </w:pPr>
      <w:r>
        <w:rPr>
          <w:rFonts w:ascii="Arial;sans-serif" w:hAnsi="Arial;sans-serif"/>
          <w:b w:val="false"/>
          <w:i/>
          <w:color w:val="000000"/>
          <w:sz w:val="20"/>
        </w:rPr>
        <w:t>ASU No. 2025-06, Intangibles-Goodwill and Other-Internal Use Software (Subtopic 350-40): Targeted Improvements to the Accounting for Internal-Use Software</w:t>
      </w:r>
      <w:r>
        <w:rPr>
          <w:color w:val="000000"/>
        </w:rPr>
        <w:t xml:space="preserve"> </w:t>
      </w:r>
      <w:r>
        <w:rPr>
          <w:rFonts w:ascii="Arial;sans-serif" w:hAnsi="Arial;sans-serif"/>
          <w:b w:val="false"/>
          <w:color w:val="000000"/>
          <w:sz w:val="20"/>
        </w:rPr>
        <w:t xml:space="preserve">was issued in September 2025 and removes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(Dollars and shares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all references to software development project stages. Software capitalization will begin when management has authorized and committed to funding the software project and when it is probable that the project will be completed and the software will be used to perform the function intended. ASU 2025-05 is effective for interim and annual periods beginning after December 15, 2027. The guidance may be applied on a prospective basis, a modified transition approach or a retrospective transition approach and allows for early adoption. Adoption is not expected to have a material impact on the Company's financial statements.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New Legislation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July 2025, legislation commonly referred to as the One Big Beautiful Bill Act (the “OBBBA”) was enacted, introducing amendments to U.S. tax laws with various effective dates from 2025 to 2027, primarily impacting companies domiciled in the U.S. The Company evaluated the implications of these tax law changes and does not anticipate material impacts.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(Dollars and shares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2. Segment, Geographic and Other Revenue Information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operates in a single operating and reportable segment for all periods presented and the CEO has been identified as the chief operating decision maker (“CODM”). The CODM uses income from operations to measure the profitability of the segment. These amounts are reported on the Condensed Consolidated Statements of Operations. The measure of segment assets is reported on the Condensed Consolidated Balance Sheets as total consolidated assets.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financial data provided to the CODM is as follows:</w:t>
      </w:r>
    </w:p>
    <w:tbl>
      <w:tblPr>
        <w:tblW w:w="10205" w:type="dxa"/>
        <w:jc w:val="left"/>
        <w:tblInd w:w="0" w:type="dxa"/>
        <w:tblLayout w:type="fixed"/>
        <w:tblCellMar>
          <w:top w:w="28" w:type="dxa"/>
          <w:left w:w="28" w:type="dxa"/>
          <w:bottom w:w="28" w:type="dxa"/>
          <w:right w:w="28" w:type="dxa"/>
        </w:tblCellMar>
      </w:tblPr>
      <w:tblGrid>
        <w:gridCol w:w="1425"/>
        <w:gridCol w:w="1238"/>
        <w:gridCol w:w="1269"/>
        <w:gridCol w:w="109"/>
        <w:gridCol w:w="109"/>
        <w:gridCol w:w="109"/>
        <w:gridCol w:w="309"/>
        <w:gridCol w:w="705"/>
        <w:gridCol w:w="159"/>
        <w:gridCol w:w="159"/>
        <w:gridCol w:w="159"/>
        <w:gridCol w:w="159"/>
        <w:gridCol w:w="309"/>
        <w:gridCol w:w="705"/>
        <w:gridCol w:w="159"/>
        <w:gridCol w:w="109"/>
        <w:gridCol w:w="109"/>
        <w:gridCol w:w="109"/>
        <w:gridCol w:w="297"/>
        <w:gridCol w:w="680"/>
        <w:gridCol w:w="154"/>
        <w:gridCol w:w="154"/>
        <w:gridCol w:w="154"/>
        <w:gridCol w:w="154"/>
        <w:gridCol w:w="297"/>
        <w:gridCol w:w="680"/>
        <w:gridCol w:w="226"/>
      </w:tblGrid>
      <w:tr>
        <w:trPr/>
        <w:tc>
          <w:tcPr>
            <w:tcW w:w="1425"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w:t>
            </w:r>
          </w:p>
        </w:tc>
      </w:tr>
      <w:tr>
        <w:trPr/>
        <w:tc>
          <w:tcPr>
            <w:tcW w:w="3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SUBLOCADE*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Sublingual &amp;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w:t>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OPVEE</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PERSERIS</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w:t>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Total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267</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745</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757</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Rest of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w:t>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314</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307</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881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889</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230</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241</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707</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236</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250</w:t>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155</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142</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445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437</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Acquired in-process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Litigation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operating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187</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206</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715</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35</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(8)</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(18)</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42</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(14)</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SUBLOCADE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Discontinued sales and marketing support for OPVEE during the third quarter of 2025.</w:t>
      </w:r>
    </w:p>
    <w:p>
      <w:pPr>
        <w:pStyle w:val="TextBody"/>
        <w:bidi w:val="0"/>
        <w:spacing w:lineRule="auto" w:line="288" w:before="0" w:after="0"/>
        <w:ind w:left="0" w:right="0" w:hanging="360"/>
        <w:jc w:val="left"/>
        <w:rPr/>
      </w:pPr>
      <w:r>
        <w:rPr>
          <w:rFonts w:ascii="Arial;sans-serif" w:hAnsi="Arial;sans-serif"/>
          <w:b w:val="false"/>
          <w:color w:val="000000"/>
          <w:sz w:val="10"/>
        </w:rPr>
        <w:t>2</w:t>
      </w:r>
      <w:r>
        <w:rPr>
          <w:rFonts w:ascii="Arial;sans-serif" w:hAnsi="Arial;sans-serif"/>
          <w:b w:val="false"/>
          <w:color w:val="000000"/>
          <w:sz w:val="16"/>
        </w:rPr>
        <w:t>Marketing and promotion activities for PERSERIS were discontinued in July 2024.</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(Dollars and shares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Significant segment expenses within net income (loss) include cost of sales, selling and marketing, general and administrative, research and development, and litigation settlement at the consolidated level. Other segment items within net income (loss) include acquired in-process research and development, other operating expense (income), net, interest (income), interest expense, and income tax expense (benefit). Our CODM is also regularly provided depreciation and amortization and share-based compensation expense information, both of which are presented above and are recorded within cost of sales and selling, general and administrative expenses.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Revenue recognized from performance obligations satisfied in previous periods was $15 million and $60 million in the three and nine months ended September 30, 2025 and $5 million and $28 million during the three and nine months ended September 30,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3. Income Tax</w:t>
      </w:r>
    </w:p>
    <w:p>
      <w:pPr>
        <w:pStyle w:val="TextBody"/>
        <w:bidi w:val="0"/>
        <w:spacing w:lineRule="auto" w:line="288"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Indivior is subject to taxation in several different jurisdictions. The Company's tax provision for each period presented was calculated using a forecasted annual tax rate, adjusted for discrete items occurring during the applicable period to arrive at an effective tax rate. The effective income tax rates for the relevant periods are calculated as follows:</w:t>
      </w:r>
    </w:p>
    <w:tbl>
      <w:tblPr>
        <w:tblW w:w="9736" w:type="dxa"/>
        <w:jc w:val="left"/>
        <w:tblInd w:w="0" w:type="dxa"/>
        <w:tblLayout w:type="fixed"/>
        <w:tblCellMar>
          <w:top w:w="28" w:type="dxa"/>
          <w:left w:w="28" w:type="dxa"/>
          <w:bottom w:w="28" w:type="dxa"/>
          <w:right w:w="28" w:type="dxa"/>
        </w:tblCellMar>
      </w:tblPr>
      <w:tblGrid>
        <w:gridCol w:w="1309"/>
        <w:gridCol w:w="1150"/>
        <w:gridCol w:w="1155"/>
        <w:gridCol w:w="297"/>
        <w:gridCol w:w="530"/>
        <w:gridCol w:w="403"/>
        <w:gridCol w:w="153"/>
        <w:gridCol w:w="153"/>
        <w:gridCol w:w="153"/>
        <w:gridCol w:w="297"/>
        <w:gridCol w:w="530"/>
        <w:gridCol w:w="403"/>
        <w:gridCol w:w="109"/>
        <w:gridCol w:w="109"/>
        <w:gridCol w:w="109"/>
        <w:gridCol w:w="266"/>
        <w:gridCol w:w="606"/>
        <w:gridCol w:w="360"/>
        <w:gridCol w:w="137"/>
        <w:gridCol w:w="137"/>
        <w:gridCol w:w="137"/>
        <w:gridCol w:w="266"/>
        <w:gridCol w:w="550"/>
        <w:gridCol w:w="417"/>
      </w:tblGrid>
      <w:tr>
        <w:trPr/>
        <w:tc>
          <w:tcPr>
            <w:tcW w:w="13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Total income (loss) before income taxes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Total income tax expense (benefit)</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000000"/>
                <w:sz w:val="20"/>
              </w:rPr>
            </w:pPr>
            <w:r>
              <w:rPr>
                <w:rFonts w:ascii="Arial;sans-serif" w:hAnsi="Arial;sans-serif"/>
                <w:b/>
                <w:color w:val="000000"/>
                <w:sz w:val="20"/>
              </w:rPr>
              <w:t>Total effective tax rate</w:t>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w:t>
            </w:r>
            <w:r>
              <w:rPr>
                <w:color w:val="000000"/>
              </w:rPr>
              <w:t>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w:t>
            </w:r>
            <w:r>
              <w:rPr>
                <w:color w:val="000000"/>
              </w:rPr>
              <w:t> </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income tax rate for the three months ended September 30, 2025 differs from the U.K. Federal statutory rate of 25%, primarily due to U.K. innovation deductions and a reduction in Pillar II top-up tax expense, offset by disallowed expenses.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income tax rate for the nine months ended September 30, 2025 differs from the U.K. Federal statutory rate of 25%, primarily due to expense recognized for a U.K. HMRC settlement which became probable during the second quarter of 2025, a valuation allowance against corporate interest limitation carryforwards, share-based compensation shortfall tax expense and disallowed expenses, partially offset by U.K. innovation deductions and intragroup financing transactions. The HMRC settlement relates to aspects of prior years' intercompany financing arrangements and is not expected to impact our future tax rates.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income tax rate for the three months ended September 30, 2024 differs from the U.K. Federal statutory rate of 25%, primarily due to disallowed expenses, offset by a reduction to a valuation allowance against corporate interest limitation carryforwards, excess share-based compensation benefit and intragroup financing transaction benefits.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income tax rate for the nine months ended September 30, 2024 differs from the U.K. Federal statutory rate of 25%, due primarily to disallowed expenses, offset by intragroup financing transaction benefits and excess share-based compensation benefits.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are subject to income taxation in many jurisdictions. Unrecognized tax benefits reflect the differences between tax positions we have taken or expect to take on income tax returns and the amounts recognized in our financial statements. Resolution of the related tax positions with the relevant tax authorities may take many years to complete, and such timing is not entirely within our control.</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(Dollars and shares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Changes in unrecognized tax benefits are summarized as follows for the nine months ended September 30, 2025.</w:t>
      </w:r>
    </w:p>
    <w:tbl>
      <w:tblPr>
        <w:tblW w:w="4325" w:type="dxa"/>
        <w:jc w:val="left"/>
        <w:tblInd w:w="0" w:type="dxa"/>
        <w:tblLayout w:type="fixed"/>
        <w:tblCellMar>
          <w:top w:w="28" w:type="dxa"/>
          <w:left w:w="28" w:type="dxa"/>
          <w:bottom w:w="28" w:type="dxa"/>
          <w:right w:w="28" w:type="dxa"/>
        </w:tblCellMar>
      </w:tblPr>
      <w:tblGrid>
        <w:gridCol w:w="1298"/>
        <w:gridCol w:w="1136"/>
        <w:gridCol w:w="1150"/>
        <w:gridCol w:w="211"/>
        <w:gridCol w:w="37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millions)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for tax positions of prior years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September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During the three months ended September 30, 2025, no new unrecognized tax positions were added. During the nine months ended September 30, 2025, we recorded $32 million in tax expense related to a settlement with U.K. HMRC which became probable during the second quarter of 2025, in relation to aspects of a finance structure in place from 2019 through May 2024. No other material changes to the Company's unrecognized tax benefit have occurred since December 31, 2024.</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During the three and nine months ended September 30, 2025, the Company accrued and expensed interest of $1 million and $6 million, respectively.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total amount of unrecognized tax benefits relating to the Company’s tax positions is subject to change based on future events including, but not limited to, the settlement of ongoing tax audits and assessments and the expiration of applicable statutes of limitations.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is not subject to U.K. examinations by tax authorities for fiscal years before 2019 and U.S. federal income tax examinations by tax authorities for fiscal years before 2021. U.K. and U.S. state and local audits covering 2018 - 2022 are ongoing. An estimate of reasonably possible additional tax liabilities and interest that could arise on resolution of these examinations, including the impact from later periods, is in the range of nil to $12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4. Inventories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Inventories are comprised of:</w:t>
      </w:r>
    </w:p>
    <w:tbl>
      <w:tblPr>
        <w:tblW w:w="7075" w:type="dxa"/>
        <w:jc w:val="left"/>
        <w:tblInd w:w="0" w:type="dxa"/>
        <w:tblLayout w:type="fixed"/>
        <w:tblCellMar>
          <w:top w:w="28" w:type="dxa"/>
          <w:left w:w="28" w:type="dxa"/>
          <w:bottom w:w="28" w:type="dxa"/>
          <w:right w:w="28" w:type="dxa"/>
        </w:tblCellMar>
      </w:tblPr>
      <w:tblGrid>
        <w:gridCol w:w="1064"/>
        <w:gridCol w:w="935"/>
        <w:gridCol w:w="940"/>
        <w:gridCol w:w="504"/>
        <w:gridCol w:w="1153"/>
        <w:gridCol w:w="262"/>
        <w:gridCol w:w="109"/>
        <w:gridCol w:w="109"/>
        <w:gridCol w:w="109"/>
        <w:gridCol w:w="470"/>
        <w:gridCol w:w="1074"/>
        <w:gridCol w:w="346"/>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Raw materials and consumables</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Work in progress</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Finished goods</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Total Inventories, net</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w:t>
            </w:r>
            <w:r>
              <w:rPr>
                <w:color w:val="000000"/>
              </w:rPr>
              <w:t>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w:t>
            </w:r>
            <w:r>
              <w:rPr>
                <w:color w:val="000000"/>
              </w:rPr>
              <w:t>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Arial;sans-serif" w:hAnsi="Arial;sans-serif"/>
          <w:b w:val="false"/>
          <w:color w:val="000000"/>
          <w:sz w:val="20"/>
        </w:rPr>
        <w:t xml:space="preserve">Inventory expected to be sold more than one year from the balance sheet date is classified as noncurrent inventory and recorded in other noncurrent assets on the condensed consolidated balance sheets. At September 30, 2025 and December 31, 2024, the noncurrent portion of inventory was $1 million and $10 million, respectively, and consisted primarily of raw materials and consumables (see </w:t>
      </w:r>
      <w:r>
        <w:rPr>
          <w:rFonts w:ascii="Arial;sans-serif" w:hAnsi="Arial;sans-serif"/>
          <w:b w:val="false"/>
          <w:i/>
          <w:color w:val="000000"/>
          <w:sz w:val="20"/>
        </w:rPr>
        <w:t>Note 14. Revision of Previously Issued Financial Statements</w:t>
      </w:r>
      <w:r>
        <w:rPr>
          <w:rFonts w:ascii="Arial;sans-serif" w:hAnsi="Arial;sans-serif"/>
          <w:b w:val="false"/>
          <w:color w:val="000000"/>
          <w:sz w:val="20"/>
        </w:rPr>
        <w:t>).</w:t>
      </w:r>
    </w:p>
    <w:p>
      <w:pPr>
        <w:pStyle w:val="TextBody"/>
        <w:bidi w:val="0"/>
        <w:spacing w:lineRule="auto" w:line="288" w:before="0" w:after="180"/>
        <w:jc w:val="left"/>
        <w:rPr/>
      </w:pPr>
      <w:r>
        <w:rPr>
          <w:rFonts w:ascii="Arial;sans-serif" w:hAnsi="Arial;sans-serif"/>
          <w:b w:val="false"/>
          <w:color w:val="000000"/>
          <w:sz w:val="20"/>
        </w:rPr>
        <w:t xml:space="preserve">Cumulative inventory write-downs reflected in the carrying amounts above at September 30, 2025 and December 31, 2024 were $41 million and $26 million, respectively. In the quarter ended September 30, 2025, $16 million of inventory write-downs related to the discontinuation of sales and marketing support for OPVEE were recorded within cost of sales. See </w:t>
      </w:r>
      <w:r>
        <w:rPr>
          <w:rFonts w:ascii="Arial;sans-serif" w:hAnsi="Arial;sans-serif"/>
          <w:b w:val="false"/>
          <w:i/>
          <w:color w:val="000000"/>
          <w:sz w:val="20"/>
        </w:rPr>
        <w:t>Note 13. Restructuring</w:t>
      </w:r>
      <w:r>
        <w:rPr>
          <w:color w:val="000000"/>
        </w:rPr>
        <w:t xml:space="preserve"> </w:t>
      </w:r>
      <w:r>
        <w:rPr>
          <w:rFonts w:ascii="Arial;sans-serif" w:hAnsi="Arial;sans-serif"/>
          <w:b w:val="false"/>
          <w:color w:val="000000"/>
          <w:sz w:val="20"/>
        </w:rPr>
        <w:t>for additional details.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(Dollars and shares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5. Property, Plant and Equipment, Net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summary of property, plant and equipment is as follows:</w:t>
      </w:r>
    </w:p>
    <w:tbl>
      <w:tblPr>
        <w:tblW w:w="8005" w:type="dxa"/>
        <w:jc w:val="left"/>
        <w:tblInd w:w="0" w:type="dxa"/>
        <w:tblLayout w:type="fixed"/>
        <w:tblCellMar>
          <w:top w:w="28" w:type="dxa"/>
          <w:left w:w="28" w:type="dxa"/>
          <w:bottom w:w="28" w:type="dxa"/>
          <w:right w:w="28" w:type="dxa"/>
        </w:tblCellMar>
      </w:tblPr>
      <w:tblGrid>
        <w:gridCol w:w="1401"/>
        <w:gridCol w:w="1231"/>
        <w:gridCol w:w="1237"/>
        <w:gridCol w:w="504"/>
        <w:gridCol w:w="1153"/>
        <w:gridCol w:w="262"/>
        <w:gridCol w:w="109"/>
        <w:gridCol w:w="109"/>
        <w:gridCol w:w="109"/>
        <w:gridCol w:w="470"/>
        <w:gridCol w:w="1074"/>
        <w:gridCol w:w="346"/>
      </w:tblGrid>
      <w:tr>
        <w:trPr/>
        <w:tc>
          <w:tcPr>
            <w:tcW w:w="140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Land and buildings</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Plant and equipment</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Construction in progress</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Gross property, plant and equipment</w:t>
            </w:r>
          </w:p>
        </w:tc>
        <w:tc>
          <w:tcPr>
            <w:tcW w:w="1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Less: Accumulated depreciation</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Total property, plant and equipment, net</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w:t>
            </w:r>
            <w:r>
              <w:rPr>
                <w:color w:val="000000"/>
              </w:rPr>
              <w:t>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capitalizes interest expense, if material, as part of the cost of construction of property, plant and equipment. Interest expense capitalized was $2 million and $4 million in the three and nine months ended September 30, 2025 and nil and $1 million in the three and nine months ended September 30, 2024, respectively.</w:t>
      </w:r>
    </w:p>
    <w:p>
      <w:pPr>
        <w:pStyle w:val="TextBody"/>
        <w:bidi w:val="0"/>
        <w:spacing w:lineRule="auto" w:line="288" w:before="0" w:after="180"/>
        <w:jc w:val="left"/>
        <w:rPr/>
      </w:pPr>
      <w:r>
        <w:rPr>
          <w:rFonts w:ascii="Arial;sans-serif" w:hAnsi="Arial;sans-serif"/>
          <w:b w:val="false"/>
          <w:color w:val="000000"/>
          <w:sz w:val="20"/>
        </w:rPr>
        <w:t xml:space="preserve">Property, plant and equipment impairment charges related to the corporate initiative transition of $11 million were recognized in research and development expenses in the three and nine months ended September 30, 2025. See </w:t>
      </w:r>
      <w:r>
        <w:rPr>
          <w:rFonts w:ascii="Arial;sans-serif" w:hAnsi="Arial;sans-serif"/>
          <w:b w:val="false"/>
          <w:i/>
          <w:color w:val="000000"/>
          <w:sz w:val="20"/>
        </w:rPr>
        <w:t>Note 13. Restructuring</w:t>
      </w:r>
      <w:r>
        <w:rPr>
          <w:color w:val="000000"/>
        </w:rPr>
        <w:t xml:space="preserve"> </w:t>
      </w:r>
      <w:r>
        <w:rPr>
          <w:rFonts w:ascii="Arial;sans-serif" w:hAnsi="Arial;sans-serif"/>
          <w:b w:val="false"/>
          <w:color w:val="000000"/>
          <w:sz w:val="20"/>
        </w:rPr>
        <w:t>for additional details.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Capital expenditures of $1 million and $2 million were included in accounts payable and accrued expenses at September 30, 2025 and September 30,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6. Accounts Payable and Accrued Expenses</w:t>
      </w:r>
    </w:p>
    <w:tbl>
      <w:tblPr>
        <w:tblW w:w="8531" w:type="dxa"/>
        <w:jc w:val="left"/>
        <w:tblInd w:w="0" w:type="dxa"/>
        <w:tblLayout w:type="fixed"/>
        <w:tblCellMar>
          <w:top w:w="28" w:type="dxa"/>
          <w:left w:w="28" w:type="dxa"/>
          <w:bottom w:w="28" w:type="dxa"/>
          <w:right w:w="28" w:type="dxa"/>
        </w:tblCellMar>
      </w:tblPr>
      <w:tblGrid>
        <w:gridCol w:w="1590"/>
        <w:gridCol w:w="1397"/>
        <w:gridCol w:w="1408"/>
        <w:gridCol w:w="504"/>
        <w:gridCol w:w="1153"/>
        <w:gridCol w:w="262"/>
        <w:gridCol w:w="109"/>
        <w:gridCol w:w="109"/>
        <w:gridCol w:w="109"/>
        <w:gridCol w:w="470"/>
        <w:gridCol w:w="1074"/>
        <w:gridCol w:w="346"/>
      </w:tblGrid>
      <w:tr>
        <w:trPr/>
        <w:tc>
          <w:tcPr>
            <w:tcW w:w="159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employee-related obligations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indirect tax and government fees</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Accruals for third-party services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other expenses</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accounts payable and accrued expenses</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w:t>
            </w:r>
            <w:r>
              <w:rPr>
                <w:color w:val="000000"/>
              </w:rPr>
              <w:t>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w:t>
            </w:r>
            <w:r>
              <w:rPr>
                <w:color w:val="000000"/>
              </w:rPr>
              <w:t>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7. Accrued Litigation Settlement Expenses</w:t>
      </w:r>
    </w:p>
    <w:tbl>
      <w:tblPr>
        <w:tblW w:w="10205" w:type="dxa"/>
        <w:jc w:val="left"/>
        <w:tblInd w:w="0" w:type="dxa"/>
        <w:tblLayout w:type="fixed"/>
        <w:tblCellMar>
          <w:top w:w="28" w:type="dxa"/>
          <w:left w:w="28" w:type="dxa"/>
          <w:bottom w:w="28" w:type="dxa"/>
          <w:right w:w="28" w:type="dxa"/>
        </w:tblCellMar>
      </w:tblPr>
      <w:tblGrid>
        <w:gridCol w:w="1170"/>
        <w:gridCol w:w="1008"/>
        <w:gridCol w:w="1013"/>
        <w:gridCol w:w="211"/>
        <w:gridCol w:w="481"/>
        <w:gridCol w:w="109"/>
        <w:gridCol w:w="109"/>
        <w:gridCol w:w="109"/>
        <w:gridCol w:w="109"/>
        <w:gridCol w:w="280"/>
        <w:gridCol w:w="640"/>
        <w:gridCol w:w="144"/>
        <w:gridCol w:w="109"/>
        <w:gridCol w:w="109"/>
        <w:gridCol w:w="109"/>
        <w:gridCol w:w="211"/>
        <w:gridCol w:w="481"/>
        <w:gridCol w:w="109"/>
        <w:gridCol w:w="109"/>
        <w:gridCol w:w="109"/>
        <w:gridCol w:w="109"/>
        <w:gridCol w:w="241"/>
        <w:gridCol w:w="430"/>
        <w:gridCol w:w="125"/>
        <w:gridCol w:w="109"/>
        <w:gridCol w:w="109"/>
        <w:gridCol w:w="109"/>
        <w:gridCol w:w="280"/>
        <w:gridCol w:w="640"/>
        <w:gridCol w:w="144"/>
        <w:gridCol w:w="109"/>
        <w:gridCol w:w="109"/>
        <w:gridCol w:w="109"/>
        <w:gridCol w:w="211"/>
        <w:gridCol w:w="481"/>
        <w:gridCol w:w="161"/>
      </w:tblGrid>
      <w:tr>
        <w:trPr/>
        <w:tc>
          <w:tcPr>
            <w:tcW w:w="117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3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Non 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Non 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Accrued litigation settlement expenses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DOJ-related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Antitrust claims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Opioid litigation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accrued litigation settlement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300</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365</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464</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(Dollars and shares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DOJ-related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July 2020, the Company settled criminal and civil liability with the U.S. Department of Justice (DOJ), the U.S. Federal Trade Commission (FTC), and U.S. state attorneys general. A scheduled payment of $52 million was made during the nine months ended September 30, 2025 with respect to this matter.</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Opioid litigation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accrual of $80 million at September 30, 2025 reflects the present value of the agreed amount in a settlement covering certain opioid litigation (including cases in the Opioid MDL). The provision is measured using a risk-free rate.</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Antitrust claims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An installment of $5 million was paid in the nine months ended September 30, 2025 in relation to antitrust litigation. The remaining accrual of $20 million at September 30, 2025 reflects the net present value (NPV) at the risk-free rate of the amounts to be paid in 2025. This final settlement resolved all of the Company’s remaining legacy antitrust litigation.</w:t>
      </w:r>
    </w:p>
    <w:p>
      <w:pPr>
        <w:pStyle w:val="TextBody"/>
        <w:bidi w:val="0"/>
        <w:spacing w:lineRule="auto" w:line="288" w:before="0" w:after="180"/>
        <w:jc w:val="left"/>
        <w:rPr/>
      </w:pPr>
      <w:r>
        <w:rPr>
          <w:rFonts w:ascii="Arial;sans-serif" w:hAnsi="Arial;sans-serif"/>
          <w:b w:val="false"/>
          <w:color w:val="000000"/>
          <w:sz w:val="20"/>
        </w:rPr>
        <w:t xml:space="preserve">See </w:t>
      </w:r>
      <w:r>
        <w:rPr>
          <w:rFonts w:ascii="Arial;sans-serif" w:hAnsi="Arial;sans-serif"/>
          <w:b w:val="false"/>
          <w:i/>
          <w:color w:val="000000"/>
          <w:sz w:val="20"/>
        </w:rPr>
        <w:t>Note 12. Commitments and Contingencies</w:t>
      </w:r>
      <w:r>
        <w:rPr>
          <w:color w:val="000000"/>
        </w:rPr>
        <w:t xml:space="preserve"> </w:t>
      </w:r>
      <w:r>
        <w:rPr>
          <w:rFonts w:ascii="Arial;sans-serif" w:hAnsi="Arial;sans-serif"/>
          <w:b w:val="false"/>
          <w:color w:val="000000"/>
          <w:sz w:val="20"/>
        </w:rPr>
        <w:t>for additional information on legal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8. Debt</w:t>
      </w:r>
    </w:p>
    <w:p>
      <w:pPr>
        <w:pStyle w:val="TextBody"/>
        <w:bidi w:val="0"/>
        <w:spacing w:lineRule="auto" w:line="288" w:before="0" w:after="180"/>
        <w:jc w:val="left"/>
        <w:rPr/>
      </w:pPr>
      <w:r>
        <w:rPr>
          <w:rFonts w:ascii="Arial;sans-serif" w:hAnsi="Arial;sans-serif"/>
          <w:b w:val="false"/>
          <w:color w:val="000000"/>
          <w:sz w:val="20"/>
        </w:rPr>
        <w:t xml:space="preserve">The Company has a note purchase agreement with an original principal amount of $350 million and a committed revolving credit facility of $50 million, both of which mature in November 2030. </w:t>
      </w:r>
      <w:r>
        <w:rPr>
          <w:rFonts w:ascii="Arial;sans-serif" w:hAnsi="Arial;sans-serif"/>
          <w:b w:val="false"/>
          <w:color w:val="000000"/>
          <w:sz w:val="20"/>
          <w:shd w:fill="FFFFFF" w:val="clear"/>
        </w:rPr>
        <w:t xml:space="preserve">None of the </w:t>
      </w:r>
      <w:r>
        <w:rPr>
          <w:rFonts w:ascii="Arial;sans-serif" w:hAnsi="Arial;sans-serif"/>
          <w:b w:val="false"/>
          <w:color w:val="000000"/>
          <w:sz w:val="20"/>
        </w:rPr>
        <w:t>$50 million</w:t>
      </w:r>
      <w:r>
        <w:rPr>
          <w:color w:val="000000"/>
          <w:shd w:fill="FFFFFF" w:val="clear"/>
        </w:rPr>
        <w:t xml:space="preserve"> </w:t>
      </w:r>
      <w:r>
        <w:rPr>
          <w:rFonts w:ascii="Arial;sans-serif" w:hAnsi="Arial;sans-serif"/>
          <w:b w:val="false"/>
          <w:color w:val="000000"/>
          <w:sz w:val="20"/>
          <w:shd w:fill="FFFFFF" w:val="clear"/>
        </w:rPr>
        <w:t>revolving credit facility has been drawn upon.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outstanding balance of the note purchase agreement of $337 million and $350 million as of September 30, 2025 and December 31, 2024, respectively, is secured by substantially all of the assets of the Company's subsidiaries, primarily in the form of guarantees issued by respective subsidiaries. Interest expense was $9 million and $26 million for the three and nine months ended September 30, 2025 and $7 million and $20 million for the three and nine months ended September 30, 2024, respectively.</w:t>
      </w:r>
    </w:p>
    <w:p>
      <w:pPr>
        <w:pStyle w:val="TextBody"/>
        <w:bidi w:val="0"/>
        <w:spacing w:lineRule="auto" w:line="288" w:before="0" w:after="180"/>
        <w:jc w:val="left"/>
        <w:rPr/>
      </w:pPr>
      <w:r>
        <w:rPr>
          <w:rFonts w:ascii="Arial;sans-serif" w:hAnsi="Arial;sans-serif"/>
          <w:b w:val="false"/>
          <w:color w:val="000000"/>
          <w:sz w:val="20"/>
        </w:rPr>
        <w:t>The Company was in comp</w:t>
      </w:r>
      <w:r>
        <w:rPr>
          <w:rFonts w:ascii="Arial;sans-serif" w:hAnsi="Arial;sans-serif"/>
          <w:b w:val="false"/>
          <w:color w:val="000000"/>
          <w:sz w:val="20"/>
          <w:shd w:fill="FFFFFF" w:val="clear"/>
        </w:rPr>
        <w:t xml:space="preserve">liance with all debt covenants at </w:t>
      </w:r>
      <w:r>
        <w:rPr>
          <w:rFonts w:ascii="Arial;sans-serif" w:hAnsi="Arial;sans-serif"/>
          <w:b w:val="false"/>
          <w:color w:val="000000"/>
          <w:sz w:val="20"/>
        </w:rPr>
        <w:t>September 30, 2025</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9. Financial Instruments and Fair Value Measurements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Financial instruments include cash and cash equivalents, accounts receivable, accounts payable, debt, investments in corporate debt securities and investments in equity securities. The carrying value of these financial instruments, excluding debt instruments and the Company’s investments in corporate debt and equity securities, approximates fair value because of the short-term nature of these instruments.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three levels of inputs are used to measure fair value: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Level 1 — Quoted prices in active markets for identical assets and liabilities.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Level 2 — Significant other observable inputs.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Level 3 — Significant unobservable inputs.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Company’s only financial instruments which are measured at fair value on a recurring basis are equity securities. The fair value of equity securities is based on quoted market prices (Level 1 inputs) on the measurement date. The fair value of equity securities at September 30, 2025 and December 31, 2024 was nil and $1 million, respectively.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fair value of corporate debt securities at September 30, 2025 and December 31, 2024 was $28 million and $27 million, respectively. The fair value of corporate debt securities held at amortized cost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(Dollars and shares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calculated based on quoted market prices which would be classified as Level 1 in the fair value hierarchy above. At September 30, 2025, the Company's debt securities were held by a separate cell of an insurance company as part of an agreement to fund insurance coverage. These debt securities are classified as long-term investments on the condensed consolidated balance sheets as access to the investments is subject to contractual restrictions, regardless of the underlying investment maturity.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fair value of debt at September 30, 2025 and December 31, 2024 was $337 million and $350 million, respectively. The fair value of debt is based on unobservable inputs and is classified as Level 3 in the hierarchy above. Given the short period since the initial issuance date and no significant changes in the economic environment or bond yields, the carrying value reasonably reflects fair value at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10. Earnings Per Share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table summarizes the calculation of basic and diluted earnings (loss) per share for each period:</w:t>
      </w:r>
    </w:p>
    <w:tbl>
      <w:tblPr>
        <w:tblW w:w="10205" w:type="dxa"/>
        <w:jc w:val="left"/>
        <w:tblInd w:w="0" w:type="dxa"/>
        <w:tblLayout w:type="fixed"/>
        <w:tblCellMar>
          <w:top w:w="28" w:type="dxa"/>
          <w:left w:w="28" w:type="dxa"/>
          <w:bottom w:w="28" w:type="dxa"/>
          <w:right w:w="28" w:type="dxa"/>
        </w:tblCellMar>
      </w:tblPr>
      <w:tblGrid>
        <w:gridCol w:w="1521"/>
        <w:gridCol w:w="1329"/>
        <w:gridCol w:w="1332"/>
        <w:gridCol w:w="351"/>
        <w:gridCol w:w="627"/>
        <w:gridCol w:w="181"/>
        <w:gridCol w:w="181"/>
        <w:gridCol w:w="181"/>
        <w:gridCol w:w="181"/>
        <w:gridCol w:w="351"/>
        <w:gridCol w:w="627"/>
        <w:gridCol w:w="181"/>
        <w:gridCol w:w="109"/>
        <w:gridCol w:w="109"/>
        <w:gridCol w:w="109"/>
        <w:gridCol w:w="310"/>
        <w:gridCol w:w="706"/>
        <w:gridCol w:w="159"/>
        <w:gridCol w:w="159"/>
        <w:gridCol w:w="159"/>
        <w:gridCol w:w="159"/>
        <w:gridCol w:w="310"/>
        <w:gridCol w:w="637"/>
        <w:gridCol w:w="236"/>
      </w:tblGrid>
      <w:tr>
        <w:trPr/>
        <w:tc>
          <w:tcPr>
            <w:tcW w:w="15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w:t>
            </w:r>
          </w:p>
        </w:tc>
      </w:tr>
      <w:tr>
        <w:trPr/>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weighted-average shares outstanding</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potentially dilutive securities: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Restricted stock awards</w:t>
            </w:r>
            <w:r>
              <w:rPr>
                <w:rFonts w:ascii="Arial;sans-serif" w:hAnsi="Arial;sans-serif"/>
                <w:b w:val="false"/>
                <w:color w:val="000000"/>
                <w:sz w:val="13"/>
              </w:rPr>
              <w:t>1</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weighted-average shares outstanding</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w:t>
            </w: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earnings (loss) per share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0.34</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0.16</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0.87</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(loss) per share</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0.33</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0.16</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0.85</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Arial;sans-serif" w:hAnsi="Arial;sans-serif"/>
          <w:b w:val="false"/>
          <w:color w:val="000000"/>
          <w:sz w:val="10"/>
        </w:rPr>
        <w:t>1</w:t>
      </w:r>
      <w:r>
        <w:rPr>
          <w:rFonts w:ascii="Arial;sans-serif" w:hAnsi="Arial;sans-serif"/>
          <w:b w:val="false"/>
          <w:color w:val="000000"/>
          <w:sz w:val="16"/>
        </w:rPr>
        <w:t>The potential shares excluded from the diluted earnings per share computation because of the antidilutive impact were nil in the three and nine months ended September 30, 2025 and nil and 1 million for the three and nine months ended September 30, 2024, respectively.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weighted average number of shares is adjusted for the number of shares granted to the extent market conditions have been met at the balance sheet date and determined using the treasury stock method.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Conditional awards of 5 million shares were granted in the nine months ended September 30, 2025 and 2 million in the nine months ended September 30, 2024 under the Company’s Long-Term Incentive Plan,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11. Share-Based Payments</w:t>
      </w:r>
    </w:p>
    <w:p>
      <w:pPr>
        <w:pStyle w:val="TextBody"/>
        <w:bidi w:val="0"/>
        <w:spacing w:lineRule="auto" w:line="288" w:before="0" w:after="180"/>
        <w:jc w:val="left"/>
        <w:rPr/>
      </w:pPr>
      <w:r>
        <w:rPr>
          <w:rFonts w:ascii="Arial;sans-serif" w:hAnsi="Arial;sans-serif"/>
          <w:b w:val="false"/>
          <w:color w:val="000000"/>
          <w:sz w:val="20"/>
        </w:rPr>
        <w:t>The Company operates three equity-settled executive and employee share plans. For share-based payment awards, the fair value at the grant date is calculated using appropriate pricing models. The programs and related accounting are described in "</w:t>
      </w:r>
      <w:r>
        <w:rPr>
          <w:rFonts w:ascii="Arial;sans-serif" w:hAnsi="Arial;sans-serif"/>
          <w:b w:val="false"/>
          <w:i/>
          <w:color w:val="000000"/>
          <w:sz w:val="20"/>
        </w:rPr>
        <w:t>Item 8. Financial Statements—Note 15. Share-Based Payments</w:t>
      </w:r>
      <w:r>
        <w:rPr>
          <w:color w:val="000000"/>
        </w:rPr>
        <w:t xml:space="preserve">” </w:t>
      </w:r>
      <w:r>
        <w:rPr>
          <w:rFonts w:ascii="Arial;sans-serif" w:hAnsi="Arial;sans-serif"/>
          <w:b w:val="false"/>
          <w:color w:val="000000"/>
          <w:sz w:val="20"/>
        </w:rPr>
        <w:t>of our Annual Report on Form 10-K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(Dollars and shares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23"/>
        <w:gridCol w:w="1426"/>
        <w:gridCol w:w="1429"/>
        <w:gridCol w:w="377"/>
        <w:gridCol w:w="484"/>
        <w:gridCol w:w="194"/>
        <w:gridCol w:w="194"/>
        <w:gridCol w:w="194"/>
        <w:gridCol w:w="194"/>
        <w:gridCol w:w="377"/>
        <w:gridCol w:w="484"/>
        <w:gridCol w:w="194"/>
        <w:gridCol w:w="109"/>
        <w:gridCol w:w="109"/>
        <w:gridCol w:w="109"/>
        <w:gridCol w:w="322"/>
        <w:gridCol w:w="576"/>
        <w:gridCol w:w="167"/>
        <w:gridCol w:w="167"/>
        <w:gridCol w:w="167"/>
        <w:gridCol w:w="167"/>
        <w:gridCol w:w="322"/>
        <w:gridCol w:w="576"/>
        <w:gridCol w:w="244"/>
      </w:tblGrid>
      <w:tr>
        <w:trPr/>
        <w:tc>
          <w:tcPr>
            <w:tcW w:w="16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w:t>
            </w:r>
          </w:p>
        </w:tc>
      </w:tr>
      <w:tr>
        <w:trPr/>
        <w:tc>
          <w:tcPr>
            <w:tcW w:w="4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4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expense related to share-based payments</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Indivior Long-Term Incentive Plan (LTIP)</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summary of the service-based restricted share awards and performance-based share awards activity under the LTIP for the nine months ended September 30, 2025 is presented below (values in thousands):</w:t>
      </w:r>
    </w:p>
    <w:tbl>
      <w:tblPr>
        <w:tblW w:w="10205" w:type="dxa"/>
        <w:jc w:val="left"/>
        <w:tblInd w:w="0" w:type="dxa"/>
        <w:tblLayout w:type="fixed"/>
        <w:tblCellMar>
          <w:top w:w="28" w:type="dxa"/>
          <w:left w:w="28" w:type="dxa"/>
          <w:bottom w:w="28" w:type="dxa"/>
          <w:right w:w="28" w:type="dxa"/>
        </w:tblCellMar>
      </w:tblPr>
      <w:tblGrid>
        <w:gridCol w:w="878"/>
        <w:gridCol w:w="750"/>
        <w:gridCol w:w="752"/>
        <w:gridCol w:w="109"/>
        <w:gridCol w:w="1248"/>
        <w:gridCol w:w="1248"/>
        <w:gridCol w:w="1251"/>
        <w:gridCol w:w="109"/>
        <w:gridCol w:w="109"/>
        <w:gridCol w:w="109"/>
        <w:gridCol w:w="1066"/>
        <w:gridCol w:w="1066"/>
        <w:gridCol w:w="1510"/>
      </w:tblGrid>
      <w:tr>
        <w:trPr/>
        <w:tc>
          <w:tcPr>
            <w:tcW w:w="87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2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Outstanding Service-Based Restricted Share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Outstanding Performance-Based Share Awards</w:t>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Shares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37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4,717</w:t>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3,011</w:t>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Issued</w:t>
            </w:r>
          </w:p>
        </w:tc>
        <w:tc>
          <w:tcPr>
            <w:tcW w:w="109" w:type="dxa"/>
            <w:tcBorders/>
            <w:vAlign w:val="center"/>
          </w:tcPr>
          <w:p>
            <w:pPr>
              <w:pStyle w:val="TableContents"/>
              <w:bidi w:val="0"/>
              <w:spacing w:before="0" w:after="283"/>
              <w:jc w:val="left"/>
              <w:rPr>
                <w:sz w:val="4"/>
                <w:szCs w:val="4"/>
              </w:rPr>
            </w:pPr>
            <w:r>
              <w:rPr>
                <w:sz w:val="4"/>
                <w:szCs w:val="4"/>
              </w:rPr>
            </w:r>
          </w:p>
        </w:tc>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(286)</w:t>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Canceled/forfeited/adjusted</w:t>
            </w:r>
          </w:p>
        </w:tc>
        <w:tc>
          <w:tcPr>
            <w:tcW w:w="109" w:type="dxa"/>
            <w:tcBorders/>
            <w:vAlign w:val="center"/>
          </w:tcPr>
          <w:p>
            <w:pPr>
              <w:pStyle w:val="TableContents"/>
              <w:bidi w:val="0"/>
              <w:spacing w:before="0" w:after="283"/>
              <w:jc w:val="left"/>
              <w:rPr>
                <w:sz w:val="4"/>
                <w:szCs w:val="4"/>
              </w:rPr>
            </w:pPr>
            <w:r>
              <w:rPr>
                <w:sz w:val="4"/>
                <w:szCs w:val="4"/>
              </w:rPr>
            </w:r>
          </w:p>
        </w:tc>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(2,079)</w:t>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Shares at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374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5,364</w:t>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weighted average fair value per share of the service-based restricted share awards granted was $10.23 for the nine months ended September 30, 2025, based on the fair market value at the date of grant. The total fair value of restricted share awards issued was $5 million for the nine months ended September 30, 2025.</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weighted average fair value per share of the performance-based share awards granted per share was $8.79 for the nine months ended September 30, 2025, calculated using the weighted average fair market value for each of the component goals at the date of grant. The total fair value of performance-based share awards issued was nil for the nine months ended September 30, 2025.</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Total compensation cost for unvested awards not yet recognized at September 30, 2025 was $23 million and $26 million for service-based restricted share awards and performance-based restricted awards, respectively. We recognize compensation cost over the expected remaining weighted-average period of 2.2 years and 2.3 years for service-based restricted share awards and performance-based share awards, respectively.</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Share Options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did not grant any share options in the nine months ended September 30, 2025. No share options were exercised in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 xml:space="preserve">12. Commitments and Contingencies </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 xml:space="preserve">Legal Proceedings and Contingencies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records accruals for loss contingencies associated with legal matters when it is probable that a liability will be incurred and the amount of the loss can be reasonably estimated. Certain ongoing legal proceedings or threats of legal proceedings to which the Company is a party, but in which the Company believes the possibility of an adverse impact is remote, are not discussed in this Note.</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Civil Opioid Litigation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previously disclosed, pursuant to mediation, the Company, the Plaintiffs' Executive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(Dollars and shares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pPr>
      <w:r>
        <w:rPr>
          <w:rFonts w:ascii="Arial;sans-serif" w:hAnsi="Arial;sans-serif"/>
          <w:b w:val="false"/>
          <w:color w:val="000000"/>
          <w:sz w:val="20"/>
        </w:rPr>
        <w:t xml:space="preserve">(PEC), and an executive committee of state attorneys general reached settlement terms related to certain civil opioid litigation (discussed below), which would allow subdivisions, including those cities and counties that filed suit against Indivior as discussed below, to potentially sign on to the terms of a settlement. No states have indicated that they do not intend to opt in except the State of Maryland. Maryland could elect to join later in the process. The process for the subdivisions of the various states to elect whether to participate in the settlement will take time (the "opt-in process"). The Company separately executed a master settlement agreement with the Tribal Leadership Committee (TLC), which is now complete with all tribes signing off on settlement. Whether the settlements with the subdivisions or states will be finalized and the actions dismissed depends on sufficient participation in each agreement. The Company presently anticipates that the opt-in process will not be complete before the end of January 2026; however, there is no assurance that this will occur at that time. The Company has recorded a related provision of $80 million, reflecting the NPV of the agreed amount (See </w:t>
      </w:r>
      <w:r>
        <w:rPr>
          <w:rFonts w:ascii="Arial;sans-serif" w:hAnsi="Arial;sans-serif"/>
          <w:b w:val="false"/>
          <w:i/>
          <w:color w:val="000000"/>
          <w:sz w:val="20"/>
        </w:rPr>
        <w:t>Note 7. Accrued Litigation Settlement Expenses</w:t>
      </w:r>
      <w:r>
        <w:rPr>
          <w:rFonts w:ascii="Arial;sans-serif" w:hAnsi="Arial;sans-serif"/>
          <w:b w:val="false"/>
          <w:color w:val="000000"/>
          <w:sz w:val="20"/>
        </w:rPr>
        <w:t xml:space="preserve">). </w:t>
      </w:r>
    </w:p>
    <w:p>
      <w:pPr>
        <w:pStyle w:val="TextBody"/>
        <w:bidi w:val="0"/>
        <w:spacing w:lineRule="auto" w:line="288" w:before="0" w:after="180"/>
        <w:jc w:val="left"/>
        <w:rPr/>
      </w:pPr>
      <w:r>
        <w:rPr>
          <w:rFonts w:ascii="Arial;sans-serif" w:hAnsi="Arial;sans-serif"/>
          <w:b w:val="false"/>
          <w:color w:val="000000"/>
          <w:sz w:val="20"/>
        </w:rPr>
        <w:t xml:space="preserve">The Company has been named as a defendant in more than 400 civil lawsuits alleging that manufacturers, distributors, and retailers of opioids engaged in a longstanding practice to market opioids as safe and effective for the treatment of long-term chronic pain to increase the market for opioids and their own market shares for opioids, or alleging individual personal injury claims. Most of these cases have been consolidated and are pending in a federal multi-district litigation in the U.S. District Court for the Northern District of Ohio. </w:t>
      </w:r>
      <w:r>
        <w:rPr>
          <w:rFonts w:ascii="Arial;sans-serif" w:hAnsi="Arial;sans-serif"/>
          <w:b w:val="false"/>
          <w:i/>
          <w:color w:val="000000"/>
          <w:sz w:val="20"/>
        </w:rPr>
        <w:t>See In re National Prescription Opiate Litigation</w:t>
      </w:r>
      <w:r>
        <w:rPr>
          <w:rFonts w:ascii="Arial;sans-serif" w:hAnsi="Arial;sans-serif"/>
          <w:b w:val="false"/>
          <w:color w:val="000000"/>
          <w:sz w:val="20"/>
        </w:rPr>
        <w:t>, MDL No. 2804 (N.D. Ohio) (the "Opioid MDL"). The mediation and potential settlement discussed above was designed to include subdivisions such as cities and counties and tribal nations. Nearly two-thirds of the cases in the Opioid MDL were filed by cities and counties. Cases brought by cities and counties outside of the MDL include, for example, 35 actions pending in New York state court, 9 writs filed in Pennsylvania state court, and actions brought in federal district courts in Florida and Georgia. Litigation against the Company in the Opioid MDL and the other federal courts is stayed. The New York state court has not yet entered a case management order. The Company has not yet been served with a complaint in any of the Pennsylvania state court matters. About one-third of the cases in the Opioid MDL were filed by private plaintiffs, most of whom assert claims relating to neonatal abstinence syndrome ("NAS"). The mediation and settlements discussed above would not resolve private plaintiff cases against the Company (whether they were filed in the MDL or not).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May 23, 2024, the Consumer Protection Division of the Office of the Attorney General of Maryland served on Indivior Inc. an administrative subpoena related generally to opioid products marketed and sold in Maryland. Indivior Inc.'s response to the subpoena remains ongoing.</w:t>
      </w:r>
    </w:p>
    <w:p>
      <w:pPr>
        <w:pStyle w:val="TextBody"/>
        <w:bidi w:val="0"/>
        <w:spacing w:lineRule="auto" w:line="288" w:before="0" w:after="180"/>
        <w:jc w:val="left"/>
        <w:rPr/>
      </w:pPr>
      <w:r>
        <w:rPr>
          <w:rFonts w:ascii="Arial;sans-serif" w:hAnsi="Arial;sans-serif"/>
          <w:b w:val="false"/>
          <w:color w:val="000000"/>
          <w:sz w:val="20"/>
        </w:rPr>
        <w:t xml:space="preserve">On October 28, 2024, Indivior Inc. was named as one of numerous defendants in five individual complaints involving claims related to NAS and filed in West Virginia state court, that were transferred to West Virginia's Mass Litigation Panel. </w:t>
      </w:r>
      <w:r>
        <w:rPr>
          <w:rFonts w:ascii="Arial;sans-serif" w:hAnsi="Arial;sans-serif"/>
          <w:b w:val="false"/>
          <w:i/>
          <w:color w:val="000000"/>
          <w:sz w:val="20"/>
        </w:rPr>
        <w:t>See</w:t>
      </w:r>
      <w:r>
        <w:rPr>
          <w:color w:val="000000"/>
        </w:rPr>
        <w:t xml:space="preserve"> </w:t>
      </w:r>
      <w:r>
        <w:rPr>
          <w:rFonts w:ascii="Arial;sans-serif" w:hAnsi="Arial;sans-serif"/>
          <w:b w:val="false"/>
          <w:i/>
          <w:color w:val="000000"/>
          <w:sz w:val="20"/>
        </w:rPr>
        <w:t>In re Opioid Litigation</w:t>
      </w:r>
      <w:r>
        <w:rPr>
          <w:rFonts w:ascii="Arial;sans-serif" w:hAnsi="Arial;sans-serif"/>
          <w:b w:val="false"/>
          <w:color w:val="000000"/>
          <w:sz w:val="20"/>
        </w:rPr>
        <w:t>, No. 22-C-9000 NAS (W.V. Kanawha Cnty. Cir. Ct.) ("WV MLP Action"). The plaintiffs filed a notice of appeal in the West Virginia Supreme Court as to all defendants, including Indivior, on February 27, 2025. Briefing on this matter was completed in August. There has been no decision by the West Virginia Supreme Court.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it relates to the private complaints and any subdivisions or states that do not opt in to the opt-in process, the Company believes it has meritorious defenses, and intends to vigorously defend itself in all actions that would not be resolved by the proposed settlement. Given the status and preliminary stage of litigation, no estimate of total possible loss for those matters can be made at this time.</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Dental Allegations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has been named as a defendant in numerous lawsuits alleging that SUBOXONE Film was defectively designed and caused dental injury, and that the Company failed to properly warn of the risks of such injuries. The plaintiffs generally seek compensatory damages, as well as punitive damages and attorneys’ fees and costs. Plaintiffs and potential plaintiffs related to these lawsuits generally can be grouped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(Dollars and shares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pPr>
      <w:r>
        <w:rPr>
          <w:rFonts w:ascii="Arial;sans-serif" w:hAnsi="Arial;sans-serif"/>
          <w:b w:val="false"/>
          <w:color w:val="000000"/>
          <w:sz w:val="20"/>
        </w:rPr>
        <w:t xml:space="preserve">As of October 29, 2025 Dental MDL Plaintiffs of over 1,900 cases naming over 22,500 plaintiffs have been consolidated in multi-district litigation in the Northern District of Ohio. </w:t>
      </w:r>
      <w:r>
        <w:rPr>
          <w:rFonts w:ascii="Arial;sans-serif" w:hAnsi="Arial;sans-serif"/>
          <w:b w:val="false"/>
          <w:i/>
          <w:color w:val="000000"/>
          <w:sz w:val="20"/>
        </w:rPr>
        <w:t>See In Re Suboxone (Buprenorphine/Naloxone) Film Products Liability Litigation</w:t>
      </w:r>
      <w:r>
        <w:rPr>
          <w:rFonts w:ascii="Arial;sans-serif" w:hAnsi="Arial;sans-serif"/>
          <w:b w:val="false"/>
          <w:color w:val="000000"/>
          <w:sz w:val="20"/>
        </w:rPr>
        <w:t>, MDL No. 3092 (N.D. Oh.) (the "Dental MDL").</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Dental MDL Schedule A Plaintiffs: One complaint filed in the Dental MDL on June 14, 2024 attached a schedule of nearly 10,000 plaintiffs (the “Schedule A Plaintiffs”). The parties negotiated a tolling agreement for the Schedule A Plaintiffs that would permit plaintiffs’ counsel additional time to investigate issues such as whether any Indivior product was used before determining whether to file individual complaints to be coordinated with the Dental MDL. Plaintiffs have been dismissing Schedule A claimants pursuant to a mechanism provided by the court. As of October 29, 2025 the plaintiffs had reduced the number of Schedule A claimants to 8,035.</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State Court Plaintiffs: One complaint has been filed in New Jersey state court, and the parties have agreed to toll the claims of more than 975 other individuals in Delaware, New Jersey, and Virginia. Complaints have not yet been filed on behalf of the tolled individuals.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Proposed class actions based on similar allegations as in the Dental MDL, but also relating to SUBOXONE Tablets, were filed in Quebec and British Columbia against various subsidiaries of the Company, among other defendants, in April 2024.</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has begun its evaluation of the claims, believes it has meritorious defenses, and intends to vigorously defend itself. Given the status and preliminary stage of litigation, no estimate of possible loss can be made at this time.</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U.K. Shareholder Claims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On September 21, 2022, certain shareholders issued representative and multiparty claims against Indivior PLC in the High Court of Justice for the Business and Property Courts of England and Wales, King’s Bench Division. The claims made in both the representative and multiparty actions generally allege that Indivior PLC violated the U.K. Financial Services and Markets Act 2000 (“FSMA 2000”) by making false or misleading statements or material omissions in public disclosures, including the 2014 Demerger Prospectus, regarding an alleged product-hopping scheme regarding the switch from SUBOXONE Tablets to SUBOXONE Film. Indivior PLC filed an application to strike out the representative action, which ultimately was struck out by the High Court and affirmed on appeal. On August 8, 2025 those certain shareholders served their "Particulars of Claim" on Indivior PLC related to the multiparty action. On October 6, 2025, the Company served on those certain shareholders its Defence. The deadline for the certain shareholders to file their Reply to the Defence is November 17, 2025. The Company has begun its evaluation of the remaining claims, believes it has meritorious defenses, and intends to vigorously defend itself. Given the status and preliminary stage of the litigation, no estimate of possible loss can be made at this time. </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U.S. Shareholder Claims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class action lawsuit was filed against Indivior PLC, Mark Crossley (the former CEO of the Company), and Ryan Preblick (the CFO of the Company) on August 2, 2024, alleging violations of certain U.S. federal securities laws, and the lead plaintiff filed an amended complaint on December 5, 2024 which also named Richard Simkin (the former CCO of the Company) as a defendant. The defendants moved to dismiss. On September 15, 2025, the court granted the motion to dismiss. The defendants did not file an appeal by the deadline of October 15,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13. Restructuring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On August 26, 2025, the Company announced major initiatives as part of Phase 1 of the Indivior Action Agenda — Generate Momentum. Related to these initiatives, in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(Dollars and shares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September 30, 2025, $35 million of corporate initiative transition costs were recognized, consisting of headcount reductions, impairment of real estate, and consulting, legal and tax expenses.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Additionally, during the third quarter, the Company discontinued the sales and marketing support for OPVEE. The Company recognized $37 million of costs in the three months ended September 30, 2025, including the write-down of inventory and intangible assets and expenses related to contract termination. No additional costs related to the costs in the table below are expected to be incurred. </w:t>
      </w:r>
    </w:p>
    <w:tbl>
      <w:tblPr>
        <w:tblW w:w="7290" w:type="dxa"/>
        <w:jc w:val="left"/>
        <w:tblInd w:w="0" w:type="dxa"/>
        <w:tblLayout w:type="fixed"/>
        <w:tblCellMar>
          <w:top w:w="28" w:type="dxa"/>
          <w:left w:w="28" w:type="dxa"/>
          <w:bottom w:w="28" w:type="dxa"/>
          <w:right w:w="28" w:type="dxa"/>
        </w:tblCellMar>
      </w:tblPr>
      <w:tblGrid>
        <w:gridCol w:w="2420"/>
        <w:gridCol w:w="2122"/>
        <w:gridCol w:w="2133"/>
        <w:gridCol w:w="254"/>
        <w:gridCol w:w="149"/>
        <w:gridCol w:w="212"/>
      </w:tblGrid>
      <w:tr>
        <w:trPr/>
        <w:tc>
          <w:tcPr>
            <w:tcW w:w="2420"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Impairment charges, provisions, write-downs and other</w:t>
            </w:r>
          </w:p>
        </w:tc>
        <w:tc>
          <w:tcPr>
            <w:tcW w:w="6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2025</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Charged to Cost of sales:</w:t>
            </w:r>
          </w:p>
        </w:tc>
        <w:tc>
          <w:tcPr>
            <w:tcW w:w="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OPVEE inventory write-down</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OPVEE contract termination and related expenses</w:t>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OPVEE intangible asset impairment</w:t>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 Cost of sales</w:t>
            </w:r>
          </w:p>
        </w:tc>
        <w:tc>
          <w:tcPr>
            <w:tcW w:w="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w:t>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Charged to Research and development: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Corporate initiative transition costs - impairment of PPE, net</w:t>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Corporate initiative transition costs - severance, legal, consulting, and other</w:t>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Sub-total: Research and development</w:t>
            </w:r>
          </w:p>
        </w:tc>
        <w:tc>
          <w:tcPr>
            <w:tcW w:w="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w:t>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Charged to Selling, general and administrative:</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Corporate initiative transition costs - severance, legal, consulting, and other</w:t>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Sub-total: Selling, general and administrative</w:t>
            </w:r>
          </w:p>
        </w:tc>
        <w:tc>
          <w:tcPr>
            <w:tcW w:w="6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charges</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72</w:t>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Prior to the third quarter, there were no obligations related to the costs shown in the table above. As of September 30, 2025, remaining obligations for these restructuring costs were $16 million for OPVEE contract termination and related expenses and $13 million for severance, legal, consulting, and other corporate initiative transition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14. Revision of Previously Issued Financial Statements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previously disclosed in the Company’s Quarterly Report on Form 10-Q for the quarter ended March 31, 2025, during the first quarter of 2025, the Company identified an error in the methodology used to accrue for Indivior's share of the annual U.S. fee imposed on drug manufacturers (the "Branded Fee"). This resulted in an overstatement of the Branded Fee accrual for the periods presented in the Company's Annual Report on Form 10-K for the year ended December 31, 2024.</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overstatement of the Branded Fee accrual did not materially impact the Company's previously issued financial statements for any of the prior quarters or the annual periods in which they occurred. However, in accordance with Staff Accounting Bulletin No. 108 of the Securities and Exchange Commission, the Company concluded that correcting the cumulative misstatement in the current period would be material to its results of operations for the quarter ended March 31, 2025. Accordingly, the Company has revised, or will revise in future filings as applicable, its previously issued Consolidated Financial Statements as of December 31, 2024 and 2023 and for the years ended December 31, 2024, 2023 and 2022 to correct this accrual overstatement. Additionally, the Company has revised, or will revise in future filings as applicable, its quarterly financial data for the three months ended March 31, June 30, September 30, and December 31, 2024. A summary of the corrections to the impacted financial statement line items is presented below. An adjustment to reclassify a portion of inventories as other noncurrent assets as of December 31, 2024 and 2023 has also been reflected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(Dollars and shares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Consolidated Balance Sheets</w:t>
      </w:r>
    </w:p>
    <w:tbl>
      <w:tblPr>
        <w:tblW w:w="7221" w:type="dxa"/>
        <w:jc w:val="left"/>
        <w:tblInd w:w="0" w:type="dxa"/>
        <w:tblLayout w:type="fixed"/>
        <w:tblCellMar>
          <w:top w:w="28" w:type="dxa"/>
          <w:left w:w="28" w:type="dxa"/>
          <w:bottom w:w="28" w:type="dxa"/>
          <w:right w:w="28" w:type="dxa"/>
        </w:tblCellMar>
      </w:tblPr>
      <w:tblGrid>
        <w:gridCol w:w="1394"/>
        <w:gridCol w:w="1226"/>
        <w:gridCol w:w="1234"/>
        <w:gridCol w:w="259"/>
        <w:gridCol w:w="793"/>
        <w:gridCol w:w="133"/>
        <w:gridCol w:w="355"/>
        <w:gridCol w:w="632"/>
        <w:gridCol w:w="184"/>
        <w:gridCol w:w="211"/>
        <w:gridCol w:w="646"/>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reported</w:t>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Adjustment</w:t>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Revised</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tax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839</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1,319</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939</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1,668</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shareholders' deficit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shareholders' deficit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1,319</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1,266</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1,760</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1,290</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shareholders' deficit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shareholders' deficit</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1,760</w:t>
            </w:r>
            <w:r>
              <w:rPr>
                <w:color w:val="000000"/>
              </w:rPr>
              <w:t>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1,758</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(Dollars and shares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Consolidated Statements of Operations</w:t>
      </w:r>
    </w:p>
    <w:tbl>
      <w:tblPr>
        <w:tblW w:w="7326" w:type="dxa"/>
        <w:jc w:val="left"/>
        <w:tblInd w:w="0" w:type="dxa"/>
        <w:tblLayout w:type="fixed"/>
        <w:tblCellMar>
          <w:top w:w="28" w:type="dxa"/>
          <w:left w:w="28" w:type="dxa"/>
          <w:bottom w:w="28" w:type="dxa"/>
          <w:right w:w="28" w:type="dxa"/>
        </w:tblCellMar>
      </w:tblPr>
      <w:tblGrid>
        <w:gridCol w:w="1451"/>
        <w:gridCol w:w="1274"/>
        <w:gridCol w:w="1280"/>
        <w:gridCol w:w="271"/>
        <w:gridCol w:w="773"/>
        <w:gridCol w:w="140"/>
        <w:gridCol w:w="286"/>
        <w:gridCol w:w="735"/>
        <w:gridCol w:w="150"/>
        <w:gridCol w:w="211"/>
        <w:gridCol w:w="60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reported</w:t>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Adjustment</w:t>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Revised</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 2024</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 net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Share</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 2023</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 net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loss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before income taxes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(129)</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per Share</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 2022</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 net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loss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before income taxes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per Share</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consolidated statements of comprehensive income (loss) and the consolidated statements of shareholders' deficit were also revised to reflect the net income (loss) noted above for the years ended December 31, 2024,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(Dollars and shares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Consolidated Statements of Cash Flows</w:t>
      </w:r>
    </w:p>
    <w:tbl>
      <w:tblPr>
        <w:tblW w:w="7175" w:type="dxa"/>
        <w:jc w:val="left"/>
        <w:tblInd w:w="0" w:type="dxa"/>
        <w:tblLayout w:type="fixed"/>
        <w:tblCellMar>
          <w:top w:w="28" w:type="dxa"/>
          <w:left w:w="28" w:type="dxa"/>
          <w:bottom w:w="28" w:type="dxa"/>
          <w:right w:w="28" w:type="dxa"/>
        </w:tblCellMar>
      </w:tblPr>
      <w:tblGrid>
        <w:gridCol w:w="1417"/>
        <w:gridCol w:w="1244"/>
        <w:gridCol w:w="1253"/>
        <w:gridCol w:w="308"/>
        <w:gridCol w:w="716"/>
        <w:gridCol w:w="160"/>
        <w:gridCol w:w="340"/>
        <w:gridCol w:w="654"/>
        <w:gridCol w:w="177"/>
        <w:gridCol w:w="211"/>
        <w:gridCol w:w="541"/>
        <w:gridCol w:w="154"/>
      </w:tblGrid>
      <w:tr>
        <w:trPr/>
        <w:tc>
          <w:tcPr>
            <w:tcW w:w="14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reported</w:t>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Adjustment</w:t>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Revised</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operating assets and liabilities:</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and noncurrent assets</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and noncurrent liabilities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operating assets and liabilities:</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and noncurrent assets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and noncurrent liabilities</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operating activities</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operating assets and liabilities:</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and noncurrent liabilities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operating activities</w:t>
            </w:r>
          </w:p>
        </w:tc>
        <w:tc>
          <w:tcPr>
            <w:tcW w:w="3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Indivior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(Dollars and shares 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Revisions to unaudited selected quarterly financial data presented in our Annual Report on Form 10-K for the year ended December 31, 2024 are summarized as follow</w:t>
      </w:r>
    </w:p>
    <w:tbl>
      <w:tblPr>
        <w:tblW w:w="7946" w:type="dxa"/>
        <w:jc w:val="left"/>
        <w:tblInd w:w="0" w:type="dxa"/>
        <w:tblLayout w:type="fixed"/>
        <w:tblCellMar>
          <w:top w:w="28" w:type="dxa"/>
          <w:left w:w="28" w:type="dxa"/>
          <w:bottom w:w="28" w:type="dxa"/>
          <w:right w:w="28" w:type="dxa"/>
        </w:tblCellMar>
      </w:tblPr>
      <w:tblGrid>
        <w:gridCol w:w="1451"/>
        <w:gridCol w:w="1274"/>
        <w:gridCol w:w="1280"/>
        <w:gridCol w:w="378"/>
        <w:gridCol w:w="867"/>
        <w:gridCol w:w="195"/>
        <w:gridCol w:w="508"/>
        <w:gridCol w:w="652"/>
        <w:gridCol w:w="264"/>
        <w:gridCol w:w="267"/>
        <w:gridCol w:w="612"/>
        <w:gridCol w:w="198"/>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reported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Adjustment</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Revised</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 2024</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 net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w:t>
            </w: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w:t>
            </w: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w:t>
            </w: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w:t>
            </w: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w:t>
            </w: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w:t>
            </w: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2024</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 net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loss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before income taxes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(97)</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 2024</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 net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w:t>
            </w: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December 31, 2024</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 net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w:t>
            </w: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w:t>
            </w: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w:t>
            </w: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w:t>
            </w: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w:t>
            </w: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15. Subsequent Events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October 2025, the Company initiated the optimization of the ROW business with plans to exit several non-U.S. markets, including the U.K., Ireland, Sweden, Israel, Finland and Italy. The Company will continue to own and operate its Fine Chemicals Plant in Hull, U.K. and will also continue to sell product and maintain operations in Canada, Australia and France, and sell product in Germany.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bookmarkStart w:id="3" w:name="i1fba43510da74ee8ad77a2f02eeafcdd"/>
      <w:bookmarkEnd w:id="3"/>
      <w:r>
        <w:rPr>
          <w:rFonts w:ascii="Arial;sans-serif" w:hAnsi="Arial;sans-serif"/>
          <w:b/>
          <w:color w:val="000000"/>
          <w:sz w:val="20"/>
        </w:rPr>
        <w:t>Item 2. Management’s Discussion and Analysis of Financial Condition and Results of Operations.</w:t>
      </w:r>
    </w:p>
    <w:p>
      <w:pPr>
        <w:pStyle w:val="TextBody"/>
        <w:bidi w:val="0"/>
        <w:spacing w:lineRule="auto" w:line="276" w:before="0" w:after="180"/>
        <w:jc w:val="left"/>
        <w:rPr/>
      </w:pPr>
      <w:r>
        <w:rPr>
          <w:rFonts w:ascii="Arial;sans-serif" w:hAnsi="Arial;sans-serif"/>
          <w:b w:val="false"/>
          <w:color w:val="000000"/>
          <w:sz w:val="20"/>
        </w:rPr>
        <w:t>The following discussion of our financial condition and results of operations should be read in conjunction with the unaudited condensed consolidated financial statements included in Part I, Item 1 of this quarterly report on Form 10-Q and with our audited consolidated financial statements, including the accompanying notes, and Management's Discussion and Analysis of Financial Condition and Results of Operations, included in our Annual Report on Form 10-K for the year ended December 31, 2024. As discussed in</w:t>
      </w:r>
      <w:r>
        <w:rPr>
          <w:color w:val="000000"/>
        </w:rPr>
        <w:t xml:space="preserve"> </w:t>
      </w:r>
      <w:r>
        <w:rPr>
          <w:rFonts w:ascii="Arial;sans-serif" w:hAnsi="Arial;sans-serif"/>
          <w:b w:val="false"/>
          <w:i/>
          <w:color w:val="000000"/>
          <w:sz w:val="20"/>
        </w:rPr>
        <w:t xml:space="preserve">Note 14. Revision of Previously Issued Financial Statements, </w:t>
      </w:r>
      <w:r>
        <w:rPr>
          <w:rFonts w:ascii="Arial;sans-serif" w:hAnsi="Arial;sans-serif"/>
          <w:b w:val="false"/>
          <w:color w:val="000000"/>
          <w:sz w:val="20"/>
        </w:rPr>
        <w:t xml:space="preserve">the Company revised its previously issued financial statements to correct an accrual overstatement that did not have a material impact for any of the prior quarters or the annual periods in which they occurred. Amounts included in the discussion below for the </w:t>
      </w:r>
      <w:r>
        <w:rPr>
          <w:rFonts w:ascii="Arial;sans-serif" w:hAnsi="Arial;sans-serif"/>
          <w:b w:val="false"/>
          <w:color w:val="000000"/>
          <w:sz w:val="20"/>
          <w:shd w:fill="FFFFFF" w:val="clear"/>
        </w:rPr>
        <w:t>three and nine months ended September 30, 2024</w:t>
      </w:r>
      <w:r>
        <w:rPr>
          <w:color w:val="000000"/>
        </w:rPr>
        <w:t xml:space="preserve"> </w:t>
      </w:r>
      <w:r>
        <w:rPr>
          <w:rFonts w:ascii="Arial;sans-serif" w:hAnsi="Arial;sans-serif"/>
          <w:b w:val="false"/>
          <w:color w:val="000000"/>
          <w:sz w:val="20"/>
        </w:rPr>
        <w:t>reflect the revisions.</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Indivior is a pharmaceutical company working to help change patients' lives by developing medicines to treat OUD. The Company's vision is that all patients will have access to evidence-based treatment for OUD and we are dedicated to transforming OUD from a human crisis to a recognized and treated chronic disease. Building on its portfolio of OUD treatments, Indivior has a pipeline of product candidates designed to expand on its heritage in this category.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Operating Results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The Company operates as one business segment, which is predominantly the development, manufacture and sale of buprenorphine-based prescription drugs for the treatment of opioid dependence and related disorders, and nalmefene nasal spray for emergency opioid overdose reversal. Substantially all our net revenue was derived from sales of SUBLOCADE and other buprenorphine-based sublingual products (including SUBOXONE Film, SUBOXONE Tablet and SUBUTEX Tablet). SUBLOCADE accounted for 70% and 69% of our net revenue for the three and nine months ended September 30, 2025, respectively, and 62% and 63% for the three and nine months ended September 30, 2024, respectively. Other buprenorphine-based sublingual products accounted for 26% and 28% of our net revenue for the three and nine months ended September 30, 2025, respectively, and 30% and 31% for the three and nine months ended September 30, 2024, respectively. In the U.S., SUBOXONE Film had an oral buprenorphine medically assisted treatment (BMAT) average share of 14.0% and 15.3% in the three months ended September 30, 2025 and 2024, respectively, according to data from IQVIA.</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Recent Developments</w:t>
      </w:r>
    </w:p>
    <w:p>
      <w:pPr>
        <w:pStyle w:val="TextBody"/>
        <w:bidi w:val="0"/>
        <w:spacing w:lineRule="auto" w:line="288" w:before="0" w:after="180"/>
        <w:jc w:val="left"/>
        <w:rPr/>
      </w:pPr>
      <w:r>
        <w:rPr>
          <w:rFonts w:ascii="Arial;sans-serif" w:hAnsi="Arial;sans-serif"/>
          <w:b w:val="false"/>
          <w:color w:val="000000"/>
          <w:sz w:val="20"/>
        </w:rPr>
        <w:t xml:space="preserve">For a discussion of recent developments with respect to litigation and tax settlements, see </w:t>
      </w:r>
      <w:r>
        <w:rPr>
          <w:rFonts w:ascii="Arial;sans-serif" w:hAnsi="Arial;sans-serif"/>
          <w:b w:val="false"/>
          <w:i/>
          <w:color w:val="000000"/>
          <w:sz w:val="20"/>
        </w:rPr>
        <w:t>Note 12. Commitments and Contingencies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Note 3. Income Tax</w:t>
      </w:r>
      <w:r>
        <w:rPr>
          <w:rFonts w:ascii="Arial;sans-serif" w:hAnsi="Arial;sans-serif"/>
          <w:b w:val="false"/>
          <w:color w:val="000000"/>
          <w:sz w:val="20"/>
        </w:rPr>
        <w:t>, respectively.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August, 2025, the Company announced major initiatives as part of Phase 1 of the Indivior Action Agenda — Generate Momentum. In the three months ended September 30, 2025, $35 million of costs were recognized relating this agenda, consisting of severance for headcount reductions, impairment of real estate, and consulting, legal and tax expenses.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During the third quarter, the Company made a strategic decision to discontinue the sales and marketing support for OPVEE, its opioid overdose reversal product. The Company will continue to distribute OPVEE upon request and meet all required contractual and regulatory obligations. As a result of this decision, the Company recognized $37 million of costs in the three months ended September 30, 2025, including the write-down of inventory and intangible assets and expenses related to contract termination.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October 2025, the Company initiated the optimization of the ROW business with plans to exit several non-U.S. markets, including the U.K., Ireland, Sweden, Israel, Finland and Italy. The Company will continue to own and operate its Fine Chemicals Plant in Hull, U.K. and will also continue to sell product and maintain operations in Canada, Australia and France, and sell product in Germany. These countries collectively represent 77% of forecasted ROW net revenue for the year. The optimization is expected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result in total charges ranging from $30 million to $50 million, primarily relating to headcount reductions, real estate consolidations, asset impairments, consulting services, and contractual termination and related costs. The majority of the charges will be recognized in the fourth quarter of 2025 and first quarter of 2026. These estimates are subject to a number of assumptions and actual expenses may differ materially from the estimates disclosed above.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July 2025, the Company cancelled its London Stock Exchange listing and now trades exclusively on Nasdaq under the symbol "INDV", which aligns to the Company's capital markets footprint and a stronger focus on SUBLOCADE growth in the U.S.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Net revenue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Net revenue for the three and nine months ended September 30, 2025 and 2024 was driven by sales of SUBLOCADE and other buprenorphine-based sublingual products (including SUBOXONE Film and SUBOXONE Tablet).</w: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214"/>
        <w:gridCol w:w="1062"/>
        <w:gridCol w:w="1077"/>
        <w:gridCol w:w="216"/>
        <w:gridCol w:w="494"/>
        <w:gridCol w:w="111"/>
        <w:gridCol w:w="111"/>
        <w:gridCol w:w="111"/>
        <w:gridCol w:w="111"/>
        <w:gridCol w:w="216"/>
        <w:gridCol w:w="494"/>
        <w:gridCol w:w="111"/>
        <w:gridCol w:w="111"/>
        <w:gridCol w:w="111"/>
        <w:gridCol w:w="111"/>
        <w:gridCol w:w="207"/>
        <w:gridCol w:w="207"/>
        <w:gridCol w:w="520"/>
        <w:gridCol w:w="109"/>
        <w:gridCol w:w="109"/>
        <w:gridCol w:w="109"/>
        <w:gridCol w:w="213"/>
        <w:gridCol w:w="487"/>
        <w:gridCol w:w="109"/>
        <w:gridCol w:w="109"/>
        <w:gridCol w:w="109"/>
        <w:gridCol w:w="109"/>
        <w:gridCol w:w="213"/>
        <w:gridCol w:w="487"/>
        <w:gridCol w:w="109"/>
        <w:gridCol w:w="109"/>
        <w:gridCol w:w="109"/>
        <w:gridCol w:w="109"/>
        <w:gridCol w:w="203"/>
        <w:gridCol w:w="203"/>
        <w:gridCol w:w="605"/>
      </w:tblGrid>
      <w:tr>
        <w:trPr/>
        <w:tc>
          <w:tcPr>
            <w:tcW w:w="121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U.S.:</w:t>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SUBLOCADE*</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Film/other</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OPVEE</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PERSERIS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U.S.</w:t>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 of the World</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314</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307</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SUBLOCADE net revenue (U.S. and Rest of the World)</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Total net revenue increased by $7 million, or 2%, and decreased by $8 million, or 1%, in the three and nine months ended September 30, 2025, respectively, and U.S. net revenue increased by $6 million, or 2%, and decreased by $12 million, or 2%, in the three and nine months ended September 30, 2025, respectively, as compared to the same periods of 2024.</w:t>
      </w:r>
    </w:p>
    <w:p>
      <w:pPr>
        <w:pStyle w:val="TextBody"/>
        <w:bidi w:val="0"/>
        <w:spacing w:lineRule="auto" w:line="288" w:before="0" w:after="180"/>
        <w:jc w:val="left"/>
        <w:rPr/>
      </w:pPr>
      <w:r>
        <w:rPr>
          <w:rFonts w:ascii="Arial;sans-serif" w:hAnsi="Arial;sans-serif"/>
          <w:b/>
          <w:i/>
          <w:color w:val="000000"/>
          <w:sz w:val="20"/>
          <w:shd w:fill="FFFFFF" w:val="clear"/>
        </w:rPr>
        <w:t xml:space="preserve">U.S. net revenue. </w:t>
      </w:r>
      <w:r>
        <w:rPr>
          <w:rFonts w:ascii="Arial;sans-serif" w:hAnsi="Arial;sans-serif"/>
          <w:b w:val="false"/>
          <w:color w:val="000000"/>
          <w:sz w:val="20"/>
          <w:shd w:fill="FFFFFF" w:val="clear"/>
        </w:rPr>
        <w:t>The U.S. is our largest market. Rebates, discounts and returns and oth</w:t>
      </w:r>
      <w:r>
        <w:rPr>
          <w:rFonts w:ascii="Arial;sans-serif" w:hAnsi="Arial;sans-serif"/>
          <w:b w:val="false"/>
          <w:color w:val="000000"/>
          <w:sz w:val="20"/>
        </w:rPr>
        <w:t xml:space="preserve">er offsets to gross revenues are reflected in net revenue. </w:t>
      </w:r>
      <w:r>
        <w:rPr>
          <w:rFonts w:ascii="Arial;sans-serif" w:hAnsi="Arial;sans-serif"/>
          <w:b w:val="false"/>
          <w:color w:val="000000"/>
          <w:sz w:val="20"/>
          <w:shd w:fill="FFFFFF" w:val="clear"/>
        </w:rPr>
        <w:t xml:space="preserve">U.S. net revenue from SUBLOCADE </w:t>
      </w:r>
      <w:r>
        <w:rPr>
          <w:rFonts w:ascii="Arial;sans-serif" w:hAnsi="Arial;sans-serif"/>
          <w:b w:val="false"/>
          <w:color w:val="000000"/>
          <w:sz w:val="20"/>
        </w:rPr>
        <w:t>increased</w:t>
      </w:r>
      <w:r>
        <w:rPr>
          <w:color w:val="000000"/>
          <w:shd w:fill="FFFFFF" w:val="clear"/>
        </w:rPr>
        <w:t xml:space="preserve"> </w:t>
      </w:r>
      <w:r>
        <w:rPr>
          <w:rFonts w:ascii="Arial;sans-serif" w:hAnsi="Arial;sans-serif"/>
          <w:b w:val="false"/>
          <w:color w:val="000000"/>
          <w:sz w:val="20"/>
          <w:shd w:fill="FFFFFF" w:val="clear"/>
        </w:rPr>
        <w:t>by $25 million, or 14%, and $38 million</w:t>
      </w:r>
      <w:r>
        <w:rPr>
          <w:rFonts w:ascii="Arial;sans-serif" w:hAnsi="Arial;sans-serif"/>
          <w:b w:val="false"/>
          <w:color w:val="000000"/>
          <w:sz w:val="20"/>
        </w:rPr>
        <w:t xml:space="preserve">, or </w:t>
      </w:r>
      <w:r>
        <w:rPr>
          <w:rFonts w:ascii="Arial;sans-serif" w:hAnsi="Arial;sans-serif"/>
          <w:b w:val="false"/>
          <w:color w:val="000000"/>
          <w:sz w:val="20"/>
          <w:shd w:fill="FFFFFF" w:val="clear"/>
        </w:rPr>
        <w:t>7%</w:t>
      </w:r>
      <w:r>
        <w:rPr>
          <w:rFonts w:ascii="Arial;sans-serif" w:hAnsi="Arial;sans-serif"/>
          <w:b w:val="false"/>
          <w:color w:val="000000"/>
          <w:sz w:val="20"/>
        </w:rPr>
        <w:t xml:space="preserve">, in the three and nine months ended September 30, 2025, respectively, as compared to the same periods in 2024, reflecting increase dispenses, the benefit of changes in estimate related to rebate accruals of $10 million, and a stocking benefit of $4 million. U.S. net revenue from other products declined $19 million and $50 million in the three and nine months ended September 30, 2025, reflecting the impact of increased competitive activity resulting in lower pricing and market share in the U.S. for SUBOXONE Film. Lower OPVEE volumes in 2025 and the decline in PERSERIS net revenue following the decision to discontinue commercial sales support in July 2024 also contributed to the net revenue decline in the three and nine months ended September 30, 2025. During the third quarter of 2025, the Company made a strategic decision to discontinue sales and marketing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support for OPVEE, although it will continue to distribute OPVEE upon request and meet all required contractual and regulatory obligations.</w:t>
      </w:r>
    </w:p>
    <w:p>
      <w:pPr>
        <w:pStyle w:val="TextBody"/>
        <w:bidi w:val="0"/>
        <w:spacing w:lineRule="auto" w:line="288" w:before="0" w:after="180"/>
        <w:jc w:val="left"/>
        <w:rPr/>
      </w:pPr>
      <w:r>
        <w:rPr>
          <w:rFonts w:ascii="Arial;sans-serif" w:hAnsi="Arial;sans-serif"/>
          <w:b/>
          <w:i/>
          <w:color w:val="000000"/>
          <w:sz w:val="20"/>
          <w:shd w:fill="FFFFFF" w:val="clear"/>
        </w:rPr>
        <w:t xml:space="preserve">Rest of the World net revenue. </w:t>
      </w:r>
      <w:r>
        <w:rPr>
          <w:rFonts w:ascii="Arial;sans-serif" w:hAnsi="Arial;sans-serif"/>
          <w:b w:val="false"/>
          <w:color w:val="000000"/>
          <w:sz w:val="20"/>
          <w:shd w:fill="FFFFFF" w:val="clear"/>
        </w:rPr>
        <w:t>In the three and nine months ended September 30, 2025, net revenue attributable to Rest of the World increased by $1 million</w:t>
      </w:r>
      <w:r>
        <w:rPr>
          <w:rFonts w:ascii="Arial;sans-serif" w:hAnsi="Arial;sans-serif"/>
          <w:b w:val="false"/>
          <w:color w:val="000000"/>
          <w:sz w:val="20"/>
        </w:rPr>
        <w:t xml:space="preserve">, or </w:t>
      </w:r>
      <w:r>
        <w:rPr>
          <w:rFonts w:ascii="Arial;sans-serif" w:hAnsi="Arial;sans-serif"/>
          <w:b w:val="false"/>
          <w:color w:val="000000"/>
          <w:sz w:val="20"/>
          <w:shd w:fill="FFFFFF" w:val="clear"/>
        </w:rPr>
        <w:t>2%</w:t>
      </w:r>
      <w:r>
        <w:rPr>
          <w:rFonts w:ascii="Arial;sans-serif" w:hAnsi="Arial;sans-serif"/>
          <w:b w:val="false"/>
          <w:color w:val="000000"/>
          <w:sz w:val="20"/>
        </w:rPr>
        <w:t xml:space="preserve">, and </w:t>
      </w:r>
      <w:r>
        <w:rPr>
          <w:rFonts w:ascii="Arial;sans-serif" w:hAnsi="Arial;sans-serif"/>
          <w:b w:val="false"/>
          <w:color w:val="000000"/>
          <w:sz w:val="20"/>
          <w:shd w:fill="FFFFFF" w:val="clear"/>
        </w:rPr>
        <w:t>$4 million</w:t>
      </w:r>
      <w:r>
        <w:rPr>
          <w:rFonts w:ascii="Arial;sans-serif" w:hAnsi="Arial;sans-serif"/>
          <w:b w:val="false"/>
          <w:color w:val="000000"/>
          <w:sz w:val="20"/>
        </w:rPr>
        <w:t xml:space="preserve">, or </w:t>
      </w:r>
      <w:r>
        <w:rPr>
          <w:rFonts w:ascii="Arial;sans-serif" w:hAnsi="Arial;sans-serif"/>
          <w:b w:val="false"/>
          <w:color w:val="000000"/>
          <w:sz w:val="20"/>
          <w:shd w:fill="FFFFFF" w:val="clear"/>
        </w:rPr>
        <w:t>3%</w:t>
      </w:r>
      <w:r>
        <w:rPr>
          <w:rFonts w:ascii="Arial;sans-serif" w:hAnsi="Arial;sans-serif"/>
          <w:b w:val="false"/>
          <w:color w:val="000000"/>
          <w:sz w:val="20"/>
        </w:rPr>
        <w:t>, respectively,</w:t>
      </w:r>
      <w:r>
        <w:rPr>
          <w:color w:val="000000"/>
          <w:shd w:fill="FFFFFF" w:val="clear"/>
        </w:rPr>
        <w:t xml:space="preserve"> </w:t>
      </w:r>
      <w:r>
        <w:rPr>
          <w:rFonts w:ascii="Arial;sans-serif" w:hAnsi="Arial;sans-serif"/>
          <w:b w:val="false"/>
          <w:color w:val="000000"/>
          <w:sz w:val="20"/>
          <w:shd w:fill="FFFFFF" w:val="clear"/>
        </w:rPr>
        <w:t>as compared to</w:t>
      </w:r>
      <w:r>
        <w:rPr>
          <w:color w:val="000000"/>
        </w:rPr>
        <w:t xml:space="preserve"> </w:t>
      </w:r>
      <w:r>
        <w:rPr>
          <w:rFonts w:ascii="Arial;sans-serif" w:hAnsi="Arial;sans-serif"/>
          <w:b w:val="false"/>
          <w:color w:val="000000"/>
          <w:sz w:val="20"/>
        </w:rPr>
        <w:t>the same periods in 2024</w:t>
      </w:r>
      <w:r>
        <w:rPr>
          <w:rFonts w:ascii="Arial;sans-serif" w:hAnsi="Arial;sans-serif"/>
          <w:b w:val="false"/>
          <w:color w:val="000000"/>
          <w:sz w:val="20"/>
          <w:shd w:fill="FFFFFF" w:val="clear"/>
        </w:rPr>
        <w:t xml:space="preserve">, </w:t>
      </w:r>
      <w:r>
        <w:rPr>
          <w:rFonts w:ascii="Arial;sans-serif" w:hAnsi="Arial;sans-serif"/>
          <w:b w:val="false"/>
          <w:color w:val="000000"/>
          <w:sz w:val="20"/>
        </w:rPr>
        <w:t>reflecting positive contributions from newer products (SUBLOCADE / SUBUTEX</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Prolonged Release and SUBOXONE Film) that were partially offset by ongoing generic erosion of the legacy tablet business.</w:t>
      </w:r>
      <w:r>
        <w:rPr>
          <w:color w:val="000000"/>
          <w:shd w:fill="FFFFFF" w:val="clear"/>
        </w:rPr>
        <w:t xml:space="preserve"> </w:t>
      </w:r>
      <w:r>
        <w:rPr>
          <w:rFonts w:ascii="Arial;sans-serif" w:hAnsi="Arial;sans-serif"/>
          <w:b w:val="false"/>
          <w:color w:val="000000"/>
          <w:sz w:val="20"/>
          <w:shd w:fill="FFFFFF" w:val="clear"/>
        </w:rPr>
        <w:t>In the three and nine months ended September 30, 2025, SUBLOCADE / SUBUTEX Prolonged Release net revenue in Rest of World was $16 million and $43 million, respectively, as compared to $13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$38 million</w:t>
      </w:r>
      <w:r>
        <w:rPr>
          <w:color w:val="000000"/>
        </w:rPr>
        <w:t xml:space="preserve"> </w:t>
      </w:r>
      <w:r>
        <w:rPr>
          <w:rFonts w:ascii="Arial;sans-serif" w:hAnsi="Arial;sans-serif"/>
          <w:b w:val="false"/>
          <w:color w:val="000000"/>
          <w:sz w:val="20"/>
        </w:rPr>
        <w:t>for the same periods in 2024, respectively</w:t>
      </w:r>
      <w:r>
        <w:rPr>
          <w:rFonts w:ascii="Arial;sans-serif" w:hAnsi="Arial;sans-serif"/>
          <w:b w:val="false"/>
          <w:color w:val="000000"/>
          <w:sz w:val="20"/>
          <w:shd w:fill="FFFFFF" w:val="clear"/>
        </w:rPr>
        <w:t xml:space="preserve">. We expect incremental growth from new products to continue to more than offset net revenue declines in the legacy tablet business in 2025, though Rest of World net revenue will be impacted by our plans </w:t>
      </w:r>
      <w:r>
        <w:rPr>
          <w:rFonts w:ascii="Arial;sans-serif" w:hAnsi="Arial;sans-serif"/>
          <w:b w:val="false"/>
          <w:color w:val="000000"/>
          <w:sz w:val="20"/>
        </w:rPr>
        <w:t>to exit several non-U.S. markets. The countries in which we will continue operations or distribution represent 77% of forecasted Rest of World net revenue.</w:t>
      </w:r>
    </w:p>
    <w:p>
      <w:pPr>
        <w:pStyle w:val="TextBody"/>
        <w:bidi w:val="0"/>
        <w:spacing w:lineRule="auto" w:line="288" w:before="0" w:after="180"/>
        <w:jc w:val="left"/>
        <w:rPr/>
      </w:pPr>
      <w:r>
        <w:rPr>
          <w:rFonts w:ascii="Arial;sans-serif" w:hAnsi="Arial;sans-serif"/>
          <w:b w:val="false"/>
          <w:color w:val="000000"/>
          <w:sz w:val="20"/>
        </w:rPr>
        <w:t>Estimates, assumptions and judgments applied to determine the provision for rebates, discounts and returns are set out in</w:t>
      </w:r>
      <w:r>
        <w:rPr>
          <w:color w:val="000000"/>
        </w:rPr>
        <w:t xml:space="preserve"> </w:t>
      </w:r>
      <w:r>
        <w:rPr>
          <w:rFonts w:ascii="Arial;sans-serif" w:hAnsi="Arial;sans-serif"/>
          <w:b w:val="false"/>
          <w:i/>
          <w:color w:val="000000"/>
          <w:sz w:val="20"/>
        </w:rPr>
        <w:t xml:space="preserve">"Item 8. Financial Statements—Note 2. Summary of Significant Accounting Policies" </w:t>
      </w:r>
      <w:r>
        <w:rPr>
          <w:rFonts w:ascii="Arial;sans-serif" w:hAnsi="Arial;sans-serif"/>
          <w:b w:val="false"/>
          <w:color w:val="000000"/>
          <w:sz w:val="20"/>
        </w:rPr>
        <w:t>in our Annual Report on Form 10-K for the year ended December 31, 2024.</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table provides a summary of activities with respect to accrued rebates and product returns and prompt pay discounts for the nine months ended September 30, 2025:</w:t>
      </w:r>
    </w:p>
    <w:tbl>
      <w:tblPr>
        <w:tblW w:w="10205" w:type="dxa"/>
        <w:jc w:val="left"/>
        <w:tblInd w:w="0" w:type="dxa"/>
        <w:tblLayout w:type="fixed"/>
        <w:tblCellMar>
          <w:top w:w="28" w:type="dxa"/>
          <w:left w:w="28" w:type="dxa"/>
          <w:bottom w:w="28" w:type="dxa"/>
          <w:right w:w="28" w:type="dxa"/>
        </w:tblCellMar>
      </w:tblPr>
      <w:tblGrid>
        <w:gridCol w:w="2148"/>
        <w:gridCol w:w="1881"/>
        <w:gridCol w:w="1894"/>
        <w:gridCol w:w="109"/>
        <w:gridCol w:w="498"/>
        <w:gridCol w:w="1141"/>
        <w:gridCol w:w="259"/>
        <w:gridCol w:w="109"/>
        <w:gridCol w:w="109"/>
        <w:gridCol w:w="109"/>
        <w:gridCol w:w="484"/>
        <w:gridCol w:w="1106"/>
        <w:gridCol w:w="358"/>
      </w:tblGrid>
      <w:tr>
        <w:trPr/>
        <w:tc>
          <w:tcPr>
            <w:tcW w:w="2148"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5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Accrued rebates and product returns and prompt pay discounts </w:t>
            </w:r>
            <w:r>
              <w:rPr>
                <w:rFonts w:ascii="Arial;sans-serif" w:hAnsi="Arial;sans-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r>
      <w:tr>
        <w:trPr/>
        <w:tc>
          <w:tcPr>
            <w:tcW w:w="5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Opening balance at January 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565</w:t>
            </w: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535</w:t>
            </w:r>
            <w:r>
              <w:rPr>
                <w:color w:val="000000"/>
              </w:rPr>
              <w:t>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Accruals related to sales made in:</w:t>
            </w:r>
          </w:p>
        </w:tc>
        <w:tc>
          <w:tcPr>
            <w:tcW w:w="109" w:type="dxa"/>
            <w:tcBorders/>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period</w:t>
            </w:r>
          </w:p>
        </w:tc>
        <w:tc>
          <w:tcPr>
            <w:tcW w:w="109"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period</w:t>
            </w:r>
          </w:p>
        </w:tc>
        <w:tc>
          <w:tcPr>
            <w:tcW w:w="109"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and credits</w:t>
            </w:r>
          </w:p>
        </w:tc>
        <w:tc>
          <w:tcPr>
            <w:tcW w:w="109"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Closing balance at end of period</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616</w:t>
            </w:r>
            <w:r>
              <w:rPr>
                <w:color w:val="000000"/>
              </w:rPr>
              <w:t>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608</w:t>
            </w:r>
            <w:r>
              <w:rPr>
                <w:color w:val="000000"/>
              </w:rPr>
              <w:t>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Accrued rebates and product returns include chargebacks as these are paid by Indivior. Prompt pay discounts are recorded as offsets to accounts receivable as of September 30, 2025. Accrued rebates and product returns and prompt pay discounts increased to $616 million as of September 30, 2025 from $608 million as of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bookmarkStart w:id="4" w:name="i75adca52af27475d8415d239208bda5d"/>
      <w:bookmarkEnd w:id="4"/>
      <w:r>
        <w:rPr>
          <w:rFonts w:ascii="Arial;sans-serif" w:hAnsi="Arial;sans-serif"/>
          <w:b/>
          <w:color w:val="000000"/>
          <w:sz w:val="20"/>
        </w:rPr>
        <w:t>Expenses</w:t>
      </w:r>
    </w:p>
    <w:tbl>
      <w:tblPr>
        <w:tblW w:w="10205" w:type="dxa"/>
        <w:jc w:val="left"/>
        <w:tblInd w:w="0" w:type="dxa"/>
        <w:tblLayout w:type="fixed"/>
        <w:tblCellMar>
          <w:top w:w="28" w:type="dxa"/>
          <w:left w:w="28" w:type="dxa"/>
          <w:bottom w:w="28" w:type="dxa"/>
          <w:right w:w="28" w:type="dxa"/>
        </w:tblCellMar>
      </w:tblPr>
      <w:tblGrid>
        <w:gridCol w:w="1075"/>
        <w:gridCol w:w="846"/>
        <w:gridCol w:w="730"/>
        <w:gridCol w:w="211"/>
        <w:gridCol w:w="376"/>
        <w:gridCol w:w="286"/>
        <w:gridCol w:w="109"/>
        <w:gridCol w:w="109"/>
        <w:gridCol w:w="109"/>
        <w:gridCol w:w="211"/>
        <w:gridCol w:w="376"/>
        <w:gridCol w:w="286"/>
        <w:gridCol w:w="109"/>
        <w:gridCol w:w="109"/>
        <w:gridCol w:w="109"/>
        <w:gridCol w:w="253"/>
        <w:gridCol w:w="254"/>
        <w:gridCol w:w="520"/>
        <w:gridCol w:w="109"/>
        <w:gridCol w:w="109"/>
        <w:gridCol w:w="109"/>
        <w:gridCol w:w="211"/>
        <w:gridCol w:w="481"/>
        <w:gridCol w:w="286"/>
        <w:gridCol w:w="109"/>
        <w:gridCol w:w="109"/>
        <w:gridCol w:w="109"/>
        <w:gridCol w:w="211"/>
        <w:gridCol w:w="481"/>
        <w:gridCol w:w="286"/>
        <w:gridCol w:w="109"/>
        <w:gridCol w:w="109"/>
        <w:gridCol w:w="109"/>
        <w:gridCol w:w="253"/>
        <w:gridCol w:w="254"/>
        <w:gridCol w:w="520"/>
        <w:gridCol w:w="163"/>
      </w:tblGrid>
      <w:tr>
        <w:trPr/>
        <w:tc>
          <w:tcPr>
            <w:tcW w:w="107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Gross margin</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in-process research and development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Litigation settlement expenses</w:t>
            </w:r>
            <w:r>
              <w:rPr>
                <w:rFonts w:ascii="Arial;sans-serif" w:hAnsi="Arial;sans-serif"/>
                <w:b w:val="false"/>
                <w:color w:val="000000"/>
                <w:sz w:val="13"/>
              </w:rPr>
              <w:t>(1)</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(income) expense, net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5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interest expense</w:t>
            </w:r>
          </w:p>
        </w:tc>
        <w:tc>
          <w:tcPr>
            <w:tcW w:w="5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Income tax expense (benefit)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180"/>
        <w:ind w:left="0" w:right="0" w:hanging="360"/>
        <w:jc w:val="left"/>
        <w:rPr/>
      </w:pPr>
      <w:r>
        <w:rPr>
          <w:rFonts w:ascii="Arial;sans-serif" w:hAnsi="Arial;sans-serif"/>
          <w:b w:val="false"/>
          <w:color w:val="000000"/>
          <w:sz w:val="16"/>
        </w:rPr>
        <w:t xml:space="preserve">(1)See </w:t>
      </w:r>
      <w:r>
        <w:rPr>
          <w:rFonts w:ascii="Arial;sans-serif" w:hAnsi="Arial;sans-serif"/>
          <w:b w:val="false"/>
          <w:i/>
          <w:color w:val="000000"/>
          <w:sz w:val="16"/>
        </w:rPr>
        <w:t>Item 1. Financial Statements—Note 7. Accrued Litigation Settlement Expenses.</w:t>
      </w:r>
    </w:p>
    <w:p>
      <w:pPr>
        <w:pStyle w:val="TextBody"/>
        <w:bidi w:val="0"/>
        <w:spacing w:lineRule="auto" w:line="288" w:before="0" w:after="180"/>
        <w:jc w:val="left"/>
        <w:rPr/>
      </w:pPr>
      <w:r>
        <w:rPr>
          <w:rFonts w:ascii="Arial;sans-serif" w:hAnsi="Arial;sans-serif"/>
          <w:b/>
          <w:i/>
          <w:color w:val="000000"/>
          <w:sz w:val="20"/>
          <w:shd w:fill="FFFFFF" w:val="clear"/>
        </w:rPr>
        <w:t>Cost of sales</w:t>
      </w:r>
      <w:r>
        <w:rPr>
          <w:rFonts w:ascii="Arial;sans-serif" w:hAnsi="Arial;sans-serif"/>
          <w:b w:val="false"/>
          <w:color w:val="000000"/>
          <w:sz w:val="20"/>
          <w:shd w:fill="FFFFFF" w:val="clear"/>
        </w:rPr>
        <w:t xml:space="preserve">. Cost of sales increased $17 million, or 26%, and </w:t>
      </w:r>
      <w:r>
        <w:rPr>
          <w:rFonts w:ascii="Arial;sans-serif" w:hAnsi="Arial;sans-serif"/>
          <w:b w:val="false"/>
          <w:color w:val="000000"/>
          <w:sz w:val="20"/>
        </w:rPr>
        <w:t>decreased</w:t>
      </w:r>
      <w:r>
        <w:rPr>
          <w:color w:val="000000"/>
          <w:shd w:fill="FFFFFF" w:val="clear"/>
        </w:rPr>
        <w:t xml:space="preserve"> </w:t>
      </w:r>
      <w:r>
        <w:rPr>
          <w:rFonts w:ascii="Arial;sans-serif" w:hAnsi="Arial;sans-serif"/>
          <w:b w:val="false"/>
          <w:color w:val="000000"/>
          <w:sz w:val="20"/>
          <w:shd w:fill="FFFFFF" w:val="clear"/>
        </w:rPr>
        <w:t>$3 million</w:t>
      </w:r>
      <w:r>
        <w:rPr>
          <w:rFonts w:ascii="Arial;sans-serif" w:hAnsi="Arial;sans-serif"/>
          <w:b w:val="false"/>
          <w:color w:val="000000"/>
          <w:sz w:val="20"/>
        </w:rPr>
        <w:t xml:space="preserve">, or </w:t>
      </w:r>
      <w:r>
        <w:rPr>
          <w:rFonts w:ascii="Arial;sans-serif" w:hAnsi="Arial;sans-serif"/>
          <w:b w:val="false"/>
          <w:color w:val="000000"/>
          <w:sz w:val="20"/>
          <w:shd w:fill="FFFFFF" w:val="clear"/>
        </w:rPr>
        <w:t>2%</w:t>
      </w:r>
      <w:r>
        <w:rPr>
          <w:rFonts w:ascii="Arial;sans-serif" w:hAnsi="Arial;sans-serif"/>
          <w:b w:val="false"/>
          <w:color w:val="000000"/>
          <w:sz w:val="20"/>
        </w:rPr>
        <w:t>,</w:t>
      </w:r>
      <w:r>
        <w:rPr>
          <w:color w:val="000000"/>
          <w:shd w:fill="FFFFFF" w:val="clear"/>
        </w:rPr>
        <w:t xml:space="preserve"> </w:t>
      </w:r>
      <w:r>
        <w:rPr>
          <w:rFonts w:ascii="Arial;sans-serif" w:hAnsi="Arial;sans-serif"/>
          <w:b w:val="false"/>
          <w:color w:val="000000"/>
          <w:sz w:val="20"/>
          <w:shd w:fill="FFFFFF" w:val="clear"/>
        </w:rPr>
        <w:t xml:space="preserve">in the three and nine months ended September 30, 2025, respectively, </w:t>
      </w:r>
      <w:r>
        <w:rPr>
          <w:rFonts w:ascii="Arial;sans-serif" w:hAnsi="Arial;sans-serif"/>
          <w:b w:val="false"/>
          <w:color w:val="000000"/>
          <w:sz w:val="20"/>
        </w:rPr>
        <w:t>as compared to the same periods of 2024</w:t>
      </w:r>
      <w:r>
        <w:rPr>
          <w:rFonts w:ascii="Arial;sans-serif" w:hAnsi="Arial;sans-serif"/>
          <w:b w:val="false"/>
          <w:color w:val="000000"/>
          <w:sz w:val="20"/>
          <w:shd w:fill="FFFFFF" w:val="clear"/>
        </w:rPr>
        <w:t>.</w:t>
      </w:r>
      <w:r>
        <w:rPr>
          <w:color w:val="000000"/>
        </w:rPr>
        <w:t xml:space="preserve"> </w:t>
      </w:r>
      <w:r>
        <w:rPr>
          <w:rFonts w:ascii="Arial;sans-serif" w:hAnsi="Arial;sans-serif"/>
          <w:b w:val="false"/>
          <w:color w:val="000000"/>
          <w:sz w:val="20"/>
        </w:rPr>
        <w:t>The increase reflects $37 million of impairment and other costs in the three and nine months ended September 30, 2025 associated with the discontinuation of sales and marketing support for OPVEE, as well as a $10 million write-down of SUBLOCADE inventory in the nine months ended September 30, 2025 due to expected expiration of finished goods prior to sale. The three and nine months ended September 30, 2024 include $10 million and $42 million, respectively, of costs related to the discontinuation of PERSERIS marketing and promotional activities.</w:t>
      </w:r>
    </w:p>
    <w:p>
      <w:pPr>
        <w:pStyle w:val="TextBody"/>
        <w:bidi w:val="0"/>
        <w:spacing w:lineRule="auto" w:line="288" w:before="0" w:after="180"/>
        <w:jc w:val="left"/>
        <w:rPr/>
      </w:pPr>
      <w:r>
        <w:rPr>
          <w:rFonts w:ascii="Arial;sans-serif" w:hAnsi="Arial;sans-serif"/>
          <w:b/>
          <w:i/>
          <w:color w:val="000000"/>
          <w:sz w:val="20"/>
        </w:rPr>
        <w:t>Gross margin</w:t>
      </w:r>
      <w:r>
        <w:rPr>
          <w:rFonts w:ascii="Arial;sans-serif" w:hAnsi="Arial;sans-serif"/>
          <w:b w:val="false"/>
          <w:color w:val="000000"/>
          <w:sz w:val="20"/>
        </w:rPr>
        <w:t xml:space="preserve">, which we define as gross profit divided by net revenue, was 73% and 80% in the three and nine months ended September 30, 2025, </w:t>
      </w:r>
      <w:r>
        <w:rPr>
          <w:rFonts w:ascii="Arial;sans-serif" w:hAnsi="Arial;sans-serif"/>
          <w:b w:val="false"/>
          <w:color w:val="000000"/>
          <w:sz w:val="20"/>
          <w:shd w:fill="FFFFFF" w:val="clear"/>
        </w:rPr>
        <w:t xml:space="preserve">respectively, </w:t>
      </w:r>
      <w:r>
        <w:rPr>
          <w:rFonts w:ascii="Arial;sans-serif" w:hAnsi="Arial;sans-serif"/>
          <w:b w:val="false"/>
          <w:color w:val="000000"/>
          <w:sz w:val="20"/>
        </w:rPr>
        <w:t xml:space="preserve">as compared to 79% and 79% in the same periods of 2024, </w:t>
      </w:r>
      <w:r>
        <w:rPr>
          <w:rFonts w:ascii="Arial;sans-serif" w:hAnsi="Arial;sans-serif"/>
          <w:b w:val="false"/>
          <w:color w:val="000000"/>
          <w:sz w:val="20"/>
          <w:shd w:fill="FFFFFF" w:val="clear"/>
        </w:rPr>
        <w:t>respectivel</w:t>
      </w:r>
      <w:r>
        <w:rPr>
          <w:rFonts w:ascii="Arial;sans-serif" w:hAnsi="Arial;sans-serif"/>
          <w:b w:val="false"/>
          <w:color w:val="000000"/>
          <w:sz w:val="20"/>
        </w:rPr>
        <w:t>y. The changes were primarily driven by the cost of sales factors described above. In addition, both periods of 2025 benefited from favorable mix reflecting SUBLOCADE volume growth and the benefit of changes in estimates related to rebate accruals.</w:t>
      </w:r>
    </w:p>
    <w:p>
      <w:pPr>
        <w:pStyle w:val="TextBody"/>
        <w:bidi w:val="0"/>
        <w:spacing w:lineRule="auto" w:line="288" w:before="0" w:after="180"/>
        <w:jc w:val="left"/>
        <w:rPr/>
      </w:pPr>
      <w:r>
        <w:rPr>
          <w:rFonts w:ascii="Arial;sans-serif" w:hAnsi="Arial;sans-serif"/>
          <w:b/>
          <w:i/>
          <w:color w:val="000000"/>
          <w:sz w:val="20"/>
          <w:shd w:fill="FFFFFF" w:val="clear"/>
        </w:rPr>
        <w:t>Selling, general and administrative expenses</w:t>
      </w:r>
      <w:r>
        <w:rPr>
          <w:rFonts w:ascii="Arial;sans-serif" w:hAnsi="Arial;sans-serif"/>
          <w:b w:val="false"/>
          <w:color w:val="000000"/>
          <w:sz w:val="20"/>
          <w:shd w:fill="FFFFFF" w:val="clear"/>
        </w:rPr>
        <w:t xml:space="preserve">. Selling, general and administrative expenses increased by $13 million, or 9%, and </w:t>
      </w:r>
      <w:r>
        <w:rPr>
          <w:rFonts w:ascii="Arial;sans-serif" w:hAnsi="Arial;sans-serif"/>
          <w:b w:val="false"/>
          <w:color w:val="000000"/>
          <w:sz w:val="20"/>
        </w:rPr>
        <w:t xml:space="preserve">increased by </w:t>
      </w:r>
      <w:r>
        <w:rPr>
          <w:rFonts w:ascii="Arial;sans-serif" w:hAnsi="Arial;sans-serif"/>
          <w:b w:val="false"/>
          <w:color w:val="000000"/>
          <w:sz w:val="20"/>
          <w:shd w:fill="FFFFFF" w:val="clear"/>
        </w:rPr>
        <w:t>$8 million</w:t>
      </w:r>
      <w:r>
        <w:rPr>
          <w:rFonts w:ascii="Arial;sans-serif" w:hAnsi="Arial;sans-serif"/>
          <w:b w:val="false"/>
          <w:color w:val="000000"/>
          <w:sz w:val="20"/>
        </w:rPr>
        <w:t xml:space="preserve">, or </w:t>
      </w:r>
      <w:r>
        <w:rPr>
          <w:rFonts w:ascii="Arial;sans-serif" w:hAnsi="Arial;sans-serif"/>
          <w:b w:val="false"/>
          <w:color w:val="000000"/>
          <w:sz w:val="20"/>
          <w:shd w:fill="FFFFFF" w:val="clear"/>
        </w:rPr>
        <w:t>2%</w:t>
      </w:r>
      <w:r>
        <w:rPr>
          <w:rFonts w:ascii="Arial;sans-serif" w:hAnsi="Arial;sans-serif"/>
          <w:b w:val="false"/>
          <w:color w:val="000000"/>
          <w:sz w:val="20"/>
        </w:rPr>
        <w:t xml:space="preserve">, </w:t>
      </w:r>
      <w:r>
        <w:rPr>
          <w:rFonts w:ascii="Arial;sans-serif" w:hAnsi="Arial;sans-serif"/>
          <w:b w:val="false"/>
          <w:color w:val="000000"/>
          <w:sz w:val="20"/>
          <w:shd w:fill="FFFFFF" w:val="clear"/>
        </w:rPr>
        <w:t xml:space="preserve">in the three and nine months ended September 30, 2025, respectively, </w:t>
      </w:r>
      <w:r>
        <w:rPr>
          <w:rFonts w:ascii="Arial;sans-serif" w:hAnsi="Arial;sans-serif"/>
          <w:b w:val="false"/>
          <w:color w:val="000000"/>
          <w:sz w:val="20"/>
        </w:rPr>
        <w:t>as compared to the same periods of 2024</w:t>
      </w:r>
      <w:r>
        <w:rPr>
          <w:rFonts w:ascii="Arial;sans-serif" w:hAnsi="Arial;sans-serif"/>
          <w:b w:val="false"/>
          <w:color w:val="000000"/>
          <w:sz w:val="20"/>
          <w:shd w:fill="FFFFFF" w:val="clear"/>
        </w:rPr>
        <w:t xml:space="preserve">. Selling, general and administrative expenses in the three and nine months ended September 30, 2025 include </w:t>
      </w:r>
      <w:r>
        <w:rPr>
          <w:rFonts w:ascii="Arial;sans-serif" w:hAnsi="Arial;sans-serif"/>
          <w:b w:val="false"/>
          <w:color w:val="000000"/>
          <w:sz w:val="20"/>
        </w:rPr>
        <w:t>$22 million</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corporate transition initiative costs</w:t>
      </w:r>
      <w:r>
        <w:rPr>
          <w:color w:val="000000"/>
          <w:shd w:fill="FFFFFF" w:val="clear"/>
        </w:rPr>
        <w:t xml:space="preserve"> </w:t>
      </w:r>
      <w:r>
        <w:rPr>
          <w:rFonts w:ascii="Arial;sans-serif" w:hAnsi="Arial;sans-serif"/>
          <w:b w:val="false"/>
          <w:color w:val="000000"/>
          <w:sz w:val="20"/>
          <w:shd w:fill="FFFFFF" w:val="clear"/>
        </w:rPr>
        <w:t xml:space="preserve">related to Phase 1 of the Indivior Action Agenda announced in August 2025. Selling, general and administrative expenses in the same periods of 2024 include </w:t>
      </w:r>
      <w:r>
        <w:rPr>
          <w:rFonts w:ascii="Arial;sans-serif" w:hAnsi="Arial;sans-serif"/>
          <w:b w:val="false"/>
          <w:color w:val="000000"/>
          <w:sz w:val="20"/>
        </w:rPr>
        <w:t>$9 million</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$12 million, respectively,</w:t>
      </w:r>
      <w:r>
        <w:rPr>
          <w:color w:val="000000"/>
          <w:shd w:fill="FFFFFF" w:val="clear"/>
        </w:rPr>
        <w:t xml:space="preserve"> </w:t>
      </w:r>
      <w:r>
        <w:rPr>
          <w:rFonts w:ascii="Arial;sans-serif" w:hAnsi="Arial;sans-serif"/>
          <w:b w:val="false"/>
          <w:color w:val="000000"/>
          <w:sz w:val="20"/>
          <w:shd w:fill="FFFFFF" w:val="clear"/>
        </w:rPr>
        <w:t xml:space="preserve">of severance and other costs associated with the discontinuation of marketing and promotion of PERSERIS. Investments in U.S. </w:t>
      </w:r>
      <w:r>
        <w:rPr>
          <w:rFonts w:ascii="Arial;sans-serif" w:hAnsi="Arial;sans-serif"/>
          <w:b w:val="false"/>
          <w:color w:val="000000"/>
          <w:sz w:val="20"/>
        </w:rPr>
        <w:t>SUBLOCADE</w:t>
      </w:r>
      <w:r>
        <w:rPr>
          <w:color w:val="000000"/>
          <w:shd w:fill="FFFFFF" w:val="clear"/>
        </w:rPr>
        <w:t xml:space="preserve"> </w:t>
      </w:r>
      <w:r>
        <w:rPr>
          <w:rFonts w:ascii="Arial;sans-serif" w:hAnsi="Arial;sans-serif"/>
          <w:b w:val="false"/>
          <w:color w:val="000000"/>
          <w:sz w:val="20"/>
          <w:shd w:fill="FFFFFF" w:val="clear"/>
        </w:rPr>
        <w:t>m</w:t>
      </w:r>
      <w:r>
        <w:rPr>
          <w:rFonts w:ascii="Arial;sans-serif" w:hAnsi="Arial;sans-serif"/>
          <w:b w:val="false"/>
          <w:color w:val="000000"/>
          <w:sz w:val="20"/>
        </w:rPr>
        <w:t xml:space="preserve">arketing contributed </w:t>
      </w:r>
      <w:r>
        <w:rPr>
          <w:rFonts w:ascii="Arial;sans-serif" w:hAnsi="Arial;sans-serif"/>
          <w:b w:val="false"/>
          <w:color w:val="000000"/>
          <w:sz w:val="20"/>
          <w:shd w:fill="FFFFFF" w:val="clear"/>
        </w:rPr>
        <w:t>$6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$21 million, respectively</w:t>
      </w:r>
      <w:r>
        <w:rPr>
          <w:rFonts w:ascii="Arial;sans-serif" w:hAnsi="Arial;sans-serif"/>
          <w:b w:val="false"/>
          <w:color w:val="000000"/>
          <w:sz w:val="20"/>
        </w:rPr>
        <w:t xml:space="preserve">, of the increase in the </w:t>
      </w:r>
      <w:r>
        <w:rPr>
          <w:rFonts w:ascii="Arial;sans-serif" w:hAnsi="Arial;sans-serif"/>
          <w:b w:val="false"/>
          <w:color w:val="000000"/>
          <w:sz w:val="20"/>
          <w:shd w:fill="FFFFFF" w:val="clear"/>
        </w:rPr>
        <w:t xml:space="preserve">three and nine months ended September 30, 2025. </w:t>
      </w:r>
      <w:r>
        <w:rPr>
          <w:rFonts w:ascii="Arial;sans-serif" w:hAnsi="Arial;sans-serif"/>
          <w:b w:val="false"/>
          <w:color w:val="000000"/>
          <w:sz w:val="20"/>
        </w:rPr>
        <w:t>Both periods of 2025 also benefited from streamlining actions taken in 2024, including narrowing the Company's commercial focus on OUD treatments and discontinuing marketing and promotion of PERSERIS.</w:t>
      </w:r>
    </w:p>
    <w:p>
      <w:pPr>
        <w:pStyle w:val="TextBody"/>
        <w:bidi w:val="0"/>
        <w:spacing w:lineRule="auto" w:line="288" w:before="0" w:after="180"/>
        <w:jc w:val="left"/>
        <w:rPr/>
      </w:pPr>
      <w:r>
        <w:rPr>
          <w:rFonts w:ascii="Arial;sans-serif" w:hAnsi="Arial;sans-serif"/>
          <w:b/>
          <w:i/>
          <w:color w:val="000000"/>
          <w:sz w:val="20"/>
          <w:shd w:fill="FFFFFF" w:val="clear"/>
        </w:rPr>
        <w:t>Research and development expenses</w:t>
      </w:r>
      <w:r>
        <w:rPr>
          <w:rFonts w:ascii="Arial;sans-serif" w:hAnsi="Arial;sans-serif"/>
          <w:b w:val="false"/>
          <w:color w:val="000000"/>
          <w:sz w:val="20"/>
          <w:shd w:fill="FFFFFF" w:val="clear"/>
        </w:rPr>
        <w:t xml:space="preserve">. Research and development expenses increased by $11 million, or 48% in the </w:t>
      </w:r>
      <w:r>
        <w:rPr>
          <w:rFonts w:ascii="Arial;sans-serif" w:hAnsi="Arial;sans-serif"/>
          <w:b w:val="false"/>
          <w:color w:val="000000"/>
          <w:sz w:val="20"/>
        </w:rPr>
        <w:t>three months ended September 30, 2025</w:t>
      </w:r>
      <w:r>
        <w:rPr>
          <w:color w:val="000000"/>
          <w:shd w:fill="FFFFFF" w:val="clear"/>
        </w:rPr>
        <w:t xml:space="preserve"> </w:t>
      </w:r>
      <w:r>
        <w:rPr>
          <w:rFonts w:ascii="Arial;sans-serif" w:hAnsi="Arial;sans-serif"/>
          <w:b w:val="false"/>
          <w:color w:val="000000"/>
          <w:sz w:val="20"/>
          <w:shd w:fill="FFFFFF" w:val="clear"/>
        </w:rPr>
        <w:t xml:space="preserve">and remained flat in the nine month period, </w:t>
      </w:r>
      <w:r>
        <w:rPr>
          <w:rFonts w:ascii="Arial;sans-serif" w:hAnsi="Arial;sans-serif"/>
          <w:b w:val="false"/>
          <w:color w:val="000000"/>
          <w:sz w:val="20"/>
        </w:rPr>
        <w:t xml:space="preserve">as compared to the same periods of 2024. Research and development expenses in the three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Arial;sans-serif" w:hAnsi="Arial;sans-serif"/>
          <w:b w:val="false"/>
          <w:color w:val="000000"/>
          <w:sz w:val="20"/>
        </w:rPr>
        <w:t xml:space="preserve">nine months ended September 30, 2025 included the impact of </w:t>
      </w:r>
      <w:r>
        <w:rPr>
          <w:rFonts w:ascii="Arial;sans-serif" w:hAnsi="Arial;sans-serif"/>
          <w:b w:val="false"/>
          <w:color w:val="000000"/>
          <w:sz w:val="20"/>
          <w:shd w:fill="FFFFFF" w:val="clear"/>
        </w:rPr>
        <w:t xml:space="preserve">$13 million of </w:t>
      </w:r>
      <w:r>
        <w:rPr>
          <w:rFonts w:ascii="Arial;sans-serif" w:hAnsi="Arial;sans-serif"/>
          <w:b w:val="false"/>
          <w:color w:val="000000"/>
          <w:sz w:val="20"/>
        </w:rPr>
        <w:t xml:space="preserve">restructuring and impairment </w:t>
      </w:r>
      <w:r>
        <w:rPr>
          <w:rFonts w:ascii="Arial;sans-serif" w:hAnsi="Arial;sans-serif"/>
          <w:b w:val="false"/>
          <w:color w:val="000000"/>
          <w:sz w:val="20"/>
          <w:shd w:fill="FFFFFF" w:val="clear"/>
        </w:rPr>
        <w:t>costs related to Phase 1 of the Indivior Action Agenda announced in August 2025. Excluding these impacts, lower research and development costs</w:t>
      </w:r>
      <w:r>
        <w:rPr>
          <w:color w:val="000000"/>
        </w:rPr>
        <w:t xml:space="preserve"> </w:t>
      </w:r>
      <w:r>
        <w:rPr>
          <w:rFonts w:ascii="Arial;sans-serif" w:hAnsi="Arial;sans-serif"/>
          <w:b w:val="false"/>
          <w:color w:val="000000"/>
          <w:sz w:val="20"/>
        </w:rPr>
        <w:t>primarily reflect the Company's actions to refocus its development pipeline on the Phase 2 OUD assets (INDV-2000 and INDV-6001). We expect research and development expenses to continue to track below 2024 levels through the remainder of the year.</w:t>
      </w:r>
    </w:p>
    <w:p>
      <w:pPr>
        <w:pStyle w:val="TextBody"/>
        <w:bidi w:val="0"/>
        <w:spacing w:lineRule="auto" w:line="288" w:before="0" w:after="180"/>
        <w:jc w:val="left"/>
        <w:rPr/>
      </w:pPr>
      <w:r>
        <w:rPr>
          <w:rFonts w:ascii="Arial;sans-serif" w:hAnsi="Arial;sans-serif"/>
          <w:b/>
          <w:i/>
          <w:color w:val="000000"/>
          <w:sz w:val="20"/>
        </w:rPr>
        <w:t>Net interest expense</w:t>
      </w:r>
      <w:r>
        <w:rPr>
          <w:rFonts w:ascii="Arial;sans-serif" w:hAnsi="Arial;sans-serif"/>
          <w:b w:val="false"/>
          <w:color w:val="000000"/>
          <w:sz w:val="20"/>
        </w:rPr>
        <w:t>. Net interest expense was $6 million and $23 million in the three and nine months ended September 30, 2025, respectively, as compared to net interest expense of $5 million and $10 million in the three and nine months ended September 30, 2024. Higher net interest expense in the nine months ended September 30, 2025 includes $4 million related to an expected U.K. tax settlement and reflects interest expense on the larger amount borrowed under the Company's new borrowing arrangement secured in late 2024.</w:t>
      </w:r>
    </w:p>
    <w:p>
      <w:pPr>
        <w:pStyle w:val="TextBody"/>
        <w:bidi w:val="0"/>
        <w:spacing w:lineRule="auto" w:line="288" w:before="0" w:after="180"/>
        <w:jc w:val="left"/>
        <w:rPr/>
      </w:pPr>
      <w:r>
        <w:rPr>
          <w:rFonts w:ascii="Arial;sans-serif" w:hAnsi="Arial;sans-serif"/>
          <w:b/>
          <w:i/>
          <w:color w:val="000000"/>
          <w:sz w:val="20"/>
        </w:rPr>
        <w:t>Income tax expense (benefit)</w:t>
      </w:r>
      <w:r>
        <w:rPr>
          <w:rFonts w:ascii="Arial;sans-serif" w:hAnsi="Arial;sans-serif"/>
          <w:b w:val="false"/>
          <w:color w:val="000000"/>
          <w:sz w:val="20"/>
        </w:rPr>
        <w:t>. Income tax benefit of $5 million and income tax expense of $50 million in the three and nine months ended September 30, 2025, respectively, as compared to income tax expense of $8 million and income tax benefit of $4 million in the three and nine months ended September 30, 2024, resulted in an effective tax rate of 14% and 32% in the three and nine months ended September 30, 2025, respectively. Both periods benefited from intragroup financing transactions; however, in the nine months ended September 30, 2025 this benefit was fully offset by a tax reserve for an HMRC settlement. During the three months ended September 30, 2025, HMRC's acceptance of our proposed settlement within calendar year 2025 became probable. Accordingly, the settlement payment is expected to be treated as a covered tax, effectively eliminating our Pillar II top-up tax expense for the year. Neither the settlement cost nor the resulting Pillar II elimination are expected to recur in future periods. In the three and nine months ended September 30, 2024, the Company incurred disallowed expenses, offset by share-compensation excess tax benefits and intragroup financing transaction benefits.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July 2025, legislation commonly referred to as the OBBBA was enacted, introducing amendments to U.S. tax laws with various effective dates from 2025 to 2027, primarily impacting companies domiciled in the U.S. The Company is evaluating the implications of these tax law changes and does not currently anticipate material impacts.</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Known Risks and Uncertainties</w:t>
      </w:r>
    </w:p>
    <w:p>
      <w:pPr>
        <w:pStyle w:val="TextBody"/>
        <w:bidi w:val="0"/>
        <w:spacing w:lineRule="auto" w:line="288" w:before="0" w:after="180"/>
        <w:jc w:val="left"/>
        <w:rPr/>
      </w:pPr>
      <w:r>
        <w:rPr>
          <w:rFonts w:ascii="Arial;sans-serif" w:hAnsi="Arial;sans-serif"/>
          <w:b w:val="false"/>
          <w:color w:val="000000"/>
          <w:sz w:val="20"/>
        </w:rPr>
        <w:t xml:space="preserve">Many risks and uncertainties are discussed in the Risk Factors section in </w:t>
      </w:r>
      <w:r>
        <w:fldChar w:fldCharType="begin"/>
      </w:r>
      <w:r>
        <w:rPr>
          <w:rStyle w:val="InternetLink"/>
          <w:sz w:val="20"/>
          <w:u w:val="single"/>
          <w:b w:val="false"/>
          <w:rFonts w:ascii="Arial;sans-serif" w:hAnsi="Arial;sans-serif"/>
          <w:color w:val="0000FF"/>
        </w:rPr>
        <w:instrText xml:space="preserve"> HYPERLINK "https://www.sec.gov/ix?doc=/Archives/edgar/data/0001625297/000162529725000016/indv-20241231.htm" \l "i0dee1f47aaf64e24a87b163e8539f55e"</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Item 1A</w:t>
      </w:r>
      <w:r>
        <w:rPr>
          <w:rStyle w:val="InternetLink"/>
          <w:sz w:val="20"/>
          <w:u w:val="single"/>
          <w:b w:val="false"/>
          <w:rFonts w:ascii="Arial;sans-serif" w:hAnsi="Arial;sans-serif"/>
          <w:color w:val="0000FF"/>
        </w:rPr>
        <w:fldChar w:fldCharType="end"/>
      </w:r>
      <w:r>
        <w:rPr>
          <w:color w:val="000000"/>
        </w:rPr>
        <w:t xml:space="preserve"> </w:t>
      </w:r>
      <w:r>
        <w:rPr>
          <w:rFonts w:ascii="Arial;sans-serif" w:hAnsi="Arial;sans-serif"/>
          <w:b w:val="false"/>
          <w:color w:val="000000"/>
          <w:sz w:val="20"/>
        </w:rPr>
        <w:t xml:space="preserve">of our Annual Report on Form 10-K filed March 3, 2025 and Quarterly Reports on Form 10-Q filed </w:t>
      </w:r>
      <w:r>
        <w:rPr>
          <w:rFonts w:ascii="Arial;sans-serif" w:hAnsi="Arial;sans-serif"/>
          <w:b w:val="false"/>
          <w:color w:val="000000"/>
          <w:sz w:val="20"/>
          <w:shd w:fill="FFFFFF" w:val="clear"/>
        </w:rPr>
        <w:t>May 1, 2025 and July 31, 2205, Part II Item 1A herein, and our other filings with the U.S. Securities and Exchange Commission.</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Regulatory Uncertainties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budget reconciliation legislation of 2025, the OBBBA, was signed into law in July 2025. The OBBBA contains a variety of provisions that could impact our business and results of operations, and States, Medicaid plans and providers may respond to policy and sector change by limiting patient eligibility and care delivery in ways that affect access to treatment for OUD, including: innovative or higher cost treatments could be deprioritized or removed from states formularies; changes to Medicaid funding and eligibility rules, including more frequent redeterminations for beneficiaries receiving coverage through Medicaid; a requirement for adults made eligible under the Affordable Care Act ("ACA") to meet work or community engagement standards (from which persons with substance use disorder are exempt); changes to federal requirements regarding Medicaid state directed payments and provider taxes; and establishes a new rural health transformation program, among other provisions. Additional federal and state guidance is expected to be issued in order to implement these OBBBA provisions, most of which have effective dates in 2027 and 2028. Additionally, in June 2025, CMS finalized the Marketplace Integrity and Affordability Regulation which modifies the ACA exchange open enrollment periods and eligibility for premium tax credits, among other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180"/>
        <w:jc w:val="left"/>
        <w:rPr>
          <w:rFonts w:ascii="Arial;sans-serif" w:hAnsi="Arial;sans-serif"/>
          <w:b/>
          <w:color w:val="000000"/>
          <w:sz w:val="20"/>
        </w:rPr>
      </w:pPr>
      <w:bookmarkStart w:id="5" w:name="if3d97be3d49947a6bb713efa74495e6f"/>
      <w:bookmarkEnd w:id="5"/>
      <w:r>
        <w:rPr>
          <w:rFonts w:ascii="Arial;sans-serif" w:hAnsi="Arial;sans-serif"/>
          <w:b/>
          <w:color w:val="000000"/>
          <w:sz w:val="20"/>
        </w:rPr>
        <w:t>Overview</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financial condition is summarized as follows:</w:t>
      </w:r>
    </w:p>
    <w:tbl>
      <w:tblPr>
        <w:tblW w:w="7024" w:type="dxa"/>
        <w:jc w:val="left"/>
        <w:tblInd w:w="0" w:type="dxa"/>
        <w:tblLayout w:type="fixed"/>
        <w:tblCellMar>
          <w:top w:w="28" w:type="dxa"/>
          <w:left w:w="28" w:type="dxa"/>
          <w:bottom w:w="28" w:type="dxa"/>
          <w:right w:w="28" w:type="dxa"/>
        </w:tblCellMar>
      </w:tblPr>
      <w:tblGrid>
        <w:gridCol w:w="965"/>
        <w:gridCol w:w="846"/>
        <w:gridCol w:w="859"/>
        <w:gridCol w:w="504"/>
        <w:gridCol w:w="1153"/>
        <w:gridCol w:w="262"/>
        <w:gridCol w:w="109"/>
        <w:gridCol w:w="109"/>
        <w:gridCol w:w="109"/>
        <w:gridCol w:w="484"/>
        <w:gridCol w:w="1108"/>
        <w:gridCol w:w="253"/>
        <w:gridCol w:w="109"/>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(In millions)</w:t>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20"/>
              </w:rPr>
            </w:pPr>
            <w:r>
              <w:rPr>
                <w:rFonts w:ascii="Arial;sans-serif" w:hAnsi="Arial;sans-serif"/>
                <w:b/>
                <w:color w:val="000000"/>
                <w:sz w:val="20"/>
              </w:rPr>
              <w:t>Financial assets:</w:t>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Investments - short-term</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Investments - long-term</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20"/>
              </w:rPr>
            </w:pPr>
            <w:r>
              <w:rPr>
                <w:rFonts w:ascii="Arial;sans-serif" w:hAnsi="Arial;sans-serif"/>
                <w:b/>
                <w:color w:val="000000"/>
                <w:sz w:val="20"/>
              </w:rPr>
              <w:t>Total cash and investments</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473</w:t>
            </w: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347</w:t>
            </w: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20"/>
              </w:rPr>
            </w:pPr>
            <w:r>
              <w:rPr>
                <w:rFonts w:ascii="Arial;sans-serif" w:hAnsi="Arial;sans-serif"/>
                <w:b/>
                <w:color w:val="000000"/>
                <w:sz w:val="20"/>
              </w:rPr>
              <w:t>Borrowings:</w:t>
            </w:r>
          </w:p>
        </w:tc>
        <w:tc>
          <w:tcPr>
            <w:tcW w:w="1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Short-term borrowings</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Long-term borrowings</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0000"/>
          <w:sz w:val="20"/>
        </w:rPr>
      </w:pPr>
      <w:bookmarkStart w:id="6" w:name="i7fbf5ed126694919970eebc16f72f91e"/>
      <w:bookmarkEnd w:id="6"/>
      <w:r>
        <w:rPr>
          <w:rFonts w:ascii="Arial;sans-serif" w:hAnsi="Arial;sans-serif"/>
          <w:b/>
          <w:color w:val="000000"/>
          <w:sz w:val="20"/>
        </w:rPr>
        <w:t>Cash flows</w:t>
      </w:r>
    </w:p>
    <w:tbl>
      <w:tblPr>
        <w:tblW w:w="7408" w:type="dxa"/>
        <w:jc w:val="left"/>
        <w:tblInd w:w="0" w:type="dxa"/>
        <w:tblLayout w:type="fixed"/>
        <w:tblCellMar>
          <w:top w:w="28" w:type="dxa"/>
          <w:left w:w="28" w:type="dxa"/>
          <w:bottom w:w="28" w:type="dxa"/>
          <w:right w:w="28" w:type="dxa"/>
        </w:tblCellMar>
      </w:tblPr>
      <w:tblGrid>
        <w:gridCol w:w="1092"/>
        <w:gridCol w:w="956"/>
        <w:gridCol w:w="966"/>
        <w:gridCol w:w="109"/>
        <w:gridCol w:w="109"/>
        <w:gridCol w:w="109"/>
        <w:gridCol w:w="303"/>
        <w:gridCol w:w="303"/>
        <w:gridCol w:w="587"/>
        <w:gridCol w:w="1338"/>
        <w:gridCol w:w="303"/>
        <w:gridCol w:w="109"/>
        <w:gridCol w:w="109"/>
        <w:gridCol w:w="109"/>
        <w:gridCol w:w="211"/>
        <w:gridCol w:w="541"/>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233" w:type="dxa"/>
            <w:gridSpan w:val="6"/>
            <w:tcBorders/>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Net cash provided by (used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i/>
          <w:color w:val="000000"/>
          <w:sz w:val="20"/>
        </w:rPr>
      </w:pPr>
      <w:bookmarkStart w:id="7" w:name="i39e7b2e5bceb4a7fb22cc8255a82c079"/>
      <w:bookmarkEnd w:id="7"/>
      <w:r>
        <w:rPr>
          <w:rFonts w:ascii="Arial;sans-serif" w:hAnsi="Arial;sans-serif"/>
          <w:b w:val="false"/>
          <w:i/>
          <w:color w:val="000000"/>
          <w:sz w:val="20"/>
        </w:rPr>
        <w:t>Operating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Net cash provided by operating activities was $194 million and $53 million during the nine months ended September 30, 2025 and 2024, respectively, an increase of $141 million. Net cash provided by operating activities in the nine months ended September 30, 2025 primarily reflected higher cash generated from operations.</w:t>
      </w:r>
    </w:p>
    <w:p>
      <w:pPr>
        <w:pStyle w:val="TextBody"/>
        <w:bidi w:val="0"/>
        <w:spacing w:lineRule="auto" w:line="288" w:before="0" w:after="180"/>
        <w:jc w:val="left"/>
        <w:rPr/>
      </w:pPr>
      <w:r>
        <w:rPr>
          <w:rFonts w:ascii="Arial;sans-serif" w:hAnsi="Arial;sans-serif"/>
          <w:b w:val="false"/>
          <w:color w:val="000000"/>
          <w:sz w:val="20"/>
        </w:rPr>
        <w:t xml:space="preserve">Both periods reflected scheduled payment of litigation settlements. Refer to </w:t>
      </w:r>
      <w:r>
        <w:rPr>
          <w:rFonts w:ascii="Arial;sans-serif" w:hAnsi="Arial;sans-serif"/>
          <w:b w:val="false"/>
          <w:i/>
          <w:color w:val="000000"/>
          <w:sz w:val="20"/>
        </w:rPr>
        <w:t>Item 1. Financial Statements—Note 7. Accrued Litigation Settlement Expenses</w:t>
      </w:r>
      <w:r>
        <w:rPr>
          <w:color w:val="000000"/>
        </w:rPr>
        <w:t xml:space="preserve"> </w:t>
      </w:r>
      <w:r>
        <w:rPr>
          <w:rFonts w:ascii="Arial;sans-serif" w:hAnsi="Arial;sans-serif"/>
          <w:b w:val="false"/>
          <w:color w:val="000000"/>
          <w:sz w:val="20"/>
        </w:rPr>
        <w:t>for additional details.</w:t>
      </w:r>
    </w:p>
    <w:p>
      <w:pPr>
        <w:pStyle w:val="TextBody"/>
        <w:bidi w:val="0"/>
        <w:spacing w:lineRule="auto" w:line="288" w:before="0" w:after="180"/>
        <w:jc w:val="left"/>
        <w:rPr>
          <w:rFonts w:ascii="Arial;sans-serif" w:hAnsi="Arial;sans-serif"/>
          <w:b w:val="false"/>
          <w:i/>
          <w:color w:val="000000"/>
          <w:sz w:val="20"/>
        </w:rPr>
      </w:pPr>
      <w:bookmarkStart w:id="8" w:name="i5db2c1e2efb44b40acbce2098413c5ed"/>
      <w:bookmarkEnd w:id="8"/>
      <w:r>
        <w:rPr>
          <w:rFonts w:ascii="Arial;sans-serif" w:hAnsi="Arial;sans-serif"/>
          <w:b w:val="false"/>
          <w:i/>
          <w:color w:val="000000"/>
          <w:sz w:val="20"/>
        </w:rPr>
        <w:t>Investing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Net cash used in investing activities was $42 million and net cash provided by investing activities was $61 million in the nine months ended September 30, 2025 and 2024, respectively, a decrease of $103 million. The change reflects lower proceeds from maturities of investments, partly offset by an increase in capital expenditures.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expect approximately $45 million to $55 million of capital expenditures for the full year 2025 and an additional $35 million to $45 million in 2026, primarily related to the Raleigh Manufacturing Facility SUBLOCADE suite.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expects to continue evaluating investment opportunities in commercial stage assets, with no current commitments.</w:t>
      </w:r>
    </w:p>
    <w:p>
      <w:pPr>
        <w:pStyle w:val="TextBody"/>
        <w:bidi w:val="0"/>
        <w:spacing w:lineRule="auto" w:line="288" w:before="0" w:after="180"/>
        <w:jc w:val="left"/>
        <w:rPr>
          <w:rFonts w:ascii="Arial;sans-serif" w:hAnsi="Arial;sans-serif"/>
          <w:b w:val="false"/>
          <w:i/>
          <w:color w:val="000000"/>
          <w:sz w:val="20"/>
        </w:rPr>
      </w:pPr>
      <w:bookmarkStart w:id="9" w:name="ie47055f417204249af32d57e348065f8"/>
      <w:bookmarkEnd w:id="9"/>
      <w:r>
        <w:rPr>
          <w:rFonts w:ascii="Arial;sans-serif" w:hAnsi="Arial;sans-serif"/>
          <w:b w:val="false"/>
          <w:i/>
          <w:color w:val="000000"/>
          <w:sz w:val="20"/>
        </w:rPr>
        <w:t>Financing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Net cash used in financing activities decreased by $117 million in the nine months ended September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30, 2025. Net cash used in financing activities in the current period primarily reflects lower cash outflows for shares repurchased and canceled and the settlement of tax on equity awards, partially offset by higher scheduled repayments under the Company's new debt facility. In 2025, the annual scheduled repayments are 5% of the original gross loan balance. </w:t>
      </w:r>
    </w:p>
    <w:p>
      <w:pPr>
        <w:pStyle w:val="TextBody"/>
        <w:bidi w:val="0"/>
        <w:spacing w:lineRule="auto" w:line="288" w:before="0" w:after="18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Current Liabilities</w:t>
      </w:r>
    </w:p>
    <w:p>
      <w:pPr>
        <w:pStyle w:val="TextBody"/>
        <w:bidi w:val="0"/>
        <w:spacing w:lineRule="auto" w:line="288" w:before="0" w:after="180"/>
        <w:jc w:val="left"/>
        <w:rPr/>
      </w:pPr>
      <w:r>
        <w:rPr>
          <w:rFonts w:ascii="Arial;sans-serif" w:hAnsi="Arial;sans-serif"/>
          <w:b w:val="false"/>
          <w:color w:val="000000"/>
          <w:sz w:val="20"/>
          <w:shd w:fill="FFFFFF" w:val="clear"/>
        </w:rPr>
        <w:t xml:space="preserve">Our current liabilities exceed our current assets by </w:t>
      </w:r>
      <w:r>
        <w:rPr>
          <w:rFonts w:ascii="Arial;sans-serif" w:hAnsi="Arial;sans-serif"/>
          <w:b w:val="false"/>
          <w:color w:val="000000"/>
          <w:sz w:val="20"/>
        </w:rPr>
        <w:t>$43 million</w:t>
      </w:r>
      <w:r>
        <w:rPr>
          <w:color w:val="000000"/>
          <w:shd w:fill="FFFFFF" w:val="clear"/>
        </w:rPr>
        <w:t xml:space="preserve"> </w:t>
      </w:r>
      <w:r>
        <w:rPr>
          <w:rFonts w:ascii="Arial;sans-serif" w:hAnsi="Arial;sans-serif"/>
          <w:b w:val="false"/>
          <w:color w:val="000000"/>
          <w:sz w:val="20"/>
          <w:shd w:fill="FFFFFF" w:val="clear"/>
        </w:rPr>
        <w:t xml:space="preserve">and total liabilities exceed our total assets by </w:t>
      </w:r>
      <w:r>
        <w:rPr>
          <w:rFonts w:ascii="Arial;sans-serif" w:hAnsi="Arial;sans-serif"/>
          <w:b w:val="false"/>
          <w:color w:val="000000"/>
          <w:sz w:val="20"/>
        </w:rPr>
        <w:t>$207 million</w:t>
      </w:r>
      <w:r>
        <w:rPr>
          <w:rFonts w:ascii="Arial;sans-serif" w:hAnsi="Arial;sans-serif"/>
          <w:b w:val="false"/>
          <w:color w:val="000000"/>
          <w:sz w:val="20"/>
          <w:shd w:fill="FFFFFF" w:val="clear"/>
        </w:rPr>
        <w:t>. The Company sustains negative working capital because of the timing of rebate payments relative to the collection of accounts receivable.</w:t>
      </w:r>
    </w:p>
    <w:p>
      <w:pPr>
        <w:pStyle w:val="TextBody"/>
        <w:bidi w:val="0"/>
        <w:spacing w:lineRule="auto" w:line="288" w:before="0" w:after="180"/>
        <w:jc w:val="left"/>
        <w:rPr>
          <w:rFonts w:ascii="Arial;sans-serif" w:hAnsi="Arial;sans-serif"/>
          <w:b/>
          <w:color w:val="000000"/>
          <w:sz w:val="20"/>
        </w:rPr>
      </w:pPr>
      <w:bookmarkStart w:id="10" w:name="i2005aab3c00e4accb7bc012e46f8c7b5"/>
      <w:bookmarkEnd w:id="10"/>
      <w:r>
        <w:rPr>
          <w:rFonts w:ascii="Arial;sans-serif" w:hAnsi="Arial;sans-serif"/>
          <w:b/>
          <w:color w:val="000000"/>
          <w:sz w:val="20"/>
        </w:rPr>
        <w:t>Capital Resources</w:t>
      </w:r>
    </w:p>
    <w:p>
      <w:pPr>
        <w:pStyle w:val="TextBody"/>
        <w:bidi w:val="0"/>
        <w:spacing w:lineRule="auto" w:line="288" w:before="0" w:after="180"/>
        <w:jc w:val="left"/>
        <w:rPr/>
      </w:pPr>
      <w:r>
        <w:rPr>
          <w:rFonts w:ascii="Arial;sans-serif" w:hAnsi="Arial;sans-serif"/>
          <w:b w:val="false"/>
          <w:color w:val="000000"/>
          <w:sz w:val="20"/>
        </w:rPr>
        <w:t>The Company believes its existing cash and cash equivalents and investments together with cash generated from operations and debt will enable its anticipated cash needs to be met, including working capital, capital expenditures, litigation settlement payments, milestone payments, income taxes, debt repayments and other funding requirements, for at least the twelve-month period following the issuance of this Form 10-Q. T</w:t>
      </w:r>
      <w:r>
        <w:rPr>
          <w:rFonts w:ascii="Arial;sans-serif" w:hAnsi="Arial;sans-serif"/>
          <w:b w:val="false"/>
          <w:color w:val="000000"/>
          <w:sz w:val="20"/>
          <w:shd w:fill="FFFFFF" w:val="clear"/>
        </w:rPr>
        <w:t xml:space="preserve">he Company will need to sustain sales volume performance with no material change in the timing of its collections and rebate payments to maintain necessary liquidity in the near term and to meet our obligations in the long term. </w:t>
      </w:r>
      <w:r>
        <w:rPr>
          <w:rFonts w:ascii="Arial;sans-serif" w:hAnsi="Arial;sans-serif"/>
          <w:b w:val="false"/>
          <w:color w:val="000000"/>
          <w:sz w:val="20"/>
        </w:rPr>
        <w:t xml:space="preserve">The Company is also subject to contingent liabilities as described in </w:t>
      </w:r>
      <w:r>
        <w:rPr>
          <w:rFonts w:ascii="Arial;sans-serif" w:hAnsi="Arial;sans-serif"/>
          <w:b w:val="false"/>
          <w:i/>
          <w:color w:val="000000"/>
          <w:sz w:val="20"/>
        </w:rPr>
        <w:t>Item 1. Financial Statements—Note 12. Commitments and Contingencies</w:t>
      </w:r>
      <w:r>
        <w:rPr>
          <w:rFonts w:ascii="Arial;sans-serif" w:hAnsi="Arial;sans-serif"/>
          <w:b w:val="false"/>
          <w:color w:val="000000"/>
          <w:sz w:val="20"/>
        </w:rPr>
        <w:t>.</w:t>
      </w:r>
    </w:p>
    <w:p>
      <w:pPr>
        <w:pStyle w:val="TextBody"/>
        <w:bidi w:val="0"/>
        <w:spacing w:lineRule="auto" w:line="288" w:before="0" w:after="180"/>
        <w:jc w:val="left"/>
        <w:rPr>
          <w:rFonts w:ascii="Arial;sans-serif" w:hAnsi="Arial;sans-serif"/>
          <w:b/>
          <w:color w:val="000000"/>
          <w:sz w:val="20"/>
        </w:rPr>
      </w:pPr>
      <w:bookmarkStart w:id="11" w:name="ibae76351f61346a785f8b17a0029d4c7"/>
      <w:bookmarkEnd w:id="11"/>
      <w:r>
        <w:rPr>
          <w:rFonts w:ascii="Arial;sans-serif" w:hAnsi="Arial;sans-serif"/>
          <w:b/>
          <w:color w:val="000000"/>
          <w:sz w:val="20"/>
        </w:rPr>
        <w:t>Capital Expenditures</w:t>
      </w:r>
    </w:p>
    <w:tbl>
      <w:tblPr>
        <w:tblW w:w="8143" w:type="dxa"/>
        <w:jc w:val="left"/>
        <w:tblInd w:w="0" w:type="dxa"/>
        <w:tblLayout w:type="fixed"/>
        <w:tblCellMar>
          <w:top w:w="28" w:type="dxa"/>
          <w:left w:w="28" w:type="dxa"/>
          <w:bottom w:w="28" w:type="dxa"/>
          <w:right w:w="28" w:type="dxa"/>
        </w:tblCellMar>
      </w:tblPr>
      <w:tblGrid>
        <w:gridCol w:w="1415"/>
        <w:gridCol w:w="1240"/>
        <w:gridCol w:w="1259"/>
        <w:gridCol w:w="109"/>
        <w:gridCol w:w="109"/>
        <w:gridCol w:w="109"/>
        <w:gridCol w:w="336"/>
        <w:gridCol w:w="336"/>
        <w:gridCol w:w="652"/>
        <w:gridCol w:w="1165"/>
        <w:gridCol w:w="345"/>
        <w:gridCol w:w="109"/>
        <w:gridCol w:w="109"/>
        <w:gridCol w:w="109"/>
        <w:gridCol w:w="211"/>
        <w:gridCol w:w="376"/>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068" w:type="dxa"/>
            <w:gridSpan w:val="6"/>
            <w:tcBorders/>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capital expenditures primarily reflect investments in the expansion of the Raleigh Manufacturing Facility.</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0" w:after="180"/>
        <w:jc w:val="left"/>
        <w:rPr/>
      </w:pPr>
      <w:r>
        <w:rPr>
          <w:rFonts w:ascii="Arial;sans-serif" w:hAnsi="Arial;sans-serif"/>
          <w:b w:val="false"/>
          <w:color w:val="000000"/>
          <w:sz w:val="20"/>
        </w:rPr>
        <w:t xml:space="preserve">Our contractual obligations as of September 30, 2025 that require material cash requirements in the future consist of debt repayments, litigation settlements, commercial commitments related to contract manufacturing and supply of materials, capital expenditures, lease and employee-related obligations, and contractual milestones. Refer to </w:t>
      </w:r>
      <w:r>
        <w:rPr>
          <w:rFonts w:ascii="Arial;sans-serif" w:hAnsi="Arial;sans-serif"/>
          <w:b w:val="false"/>
          <w:i/>
          <w:color w:val="000000"/>
          <w:sz w:val="20"/>
        </w:rPr>
        <w:t>"Item 7. Management's Discussion and Analysis of Financial Condition and Results of Operations"</w:t>
      </w:r>
      <w:r>
        <w:rPr>
          <w:color w:val="000000"/>
        </w:rPr>
        <w:t xml:space="preserve"> </w:t>
      </w:r>
      <w:r>
        <w:rPr>
          <w:rFonts w:ascii="Arial;sans-serif" w:hAnsi="Arial;sans-serif"/>
          <w:b w:val="false"/>
          <w:color w:val="000000"/>
          <w:sz w:val="20"/>
        </w:rPr>
        <w:t>of our Annual Report on Form 10-K for the year ended December 31, 2024. As of September 30, 2025 no material changes to our contractual obligations have occurred beyond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Research and Development Expenses, Patents and Licenses, etc.</w:t>
      </w:r>
    </w:p>
    <w:p>
      <w:pPr>
        <w:pStyle w:val="TextBody"/>
        <w:bidi w:val="0"/>
        <w:spacing w:lineRule="auto" w:line="288" w:before="0" w:after="180"/>
        <w:jc w:val="left"/>
        <w:rPr/>
      </w:pPr>
      <w:r>
        <w:rPr>
          <w:rFonts w:ascii="Arial;sans-serif" w:hAnsi="Arial;sans-serif"/>
          <w:b w:val="false"/>
          <w:color w:val="000000"/>
          <w:sz w:val="20"/>
        </w:rPr>
        <w:t xml:space="preserve">No material changes have occurred from the information provided in </w:t>
      </w:r>
      <w:r>
        <w:rPr>
          <w:rFonts w:ascii="Arial;sans-serif" w:hAnsi="Arial;sans-serif"/>
          <w:b w:val="false"/>
          <w:i/>
          <w:color w:val="000000"/>
          <w:sz w:val="20"/>
        </w:rPr>
        <w:t>Item 1. Business—Research and Development</w:t>
      </w:r>
      <w:r>
        <w:rPr>
          <w:rFonts w:ascii="Arial;sans-serif" w:hAnsi="Arial;sans-serif"/>
          <w:b w:val="false"/>
          <w:color w:val="000000"/>
          <w:sz w:val="20"/>
        </w:rPr>
        <w:t>,” “</w:t>
      </w:r>
      <w:r>
        <w:rPr>
          <w:rFonts w:ascii="Arial;sans-serif" w:hAnsi="Arial;sans-serif"/>
          <w:b w:val="false"/>
          <w:i/>
          <w:color w:val="000000"/>
          <w:sz w:val="20"/>
        </w:rPr>
        <w:t>Item 1. Business—Intellectual Property</w:t>
      </w:r>
      <w:r>
        <w:rPr>
          <w:rFonts w:ascii="Arial;sans-serif" w:hAnsi="Arial;sans-serif"/>
          <w:b w:val="false"/>
          <w:color w:val="000000"/>
          <w:sz w:val="20"/>
        </w:rPr>
        <w:t>,” and “</w:t>
      </w:r>
      <w:r>
        <w:rPr>
          <w:rFonts w:ascii="Arial;sans-serif" w:hAnsi="Arial;sans-serif"/>
          <w:b w:val="false"/>
          <w:i/>
          <w:color w:val="000000"/>
          <w:sz w:val="20"/>
        </w:rPr>
        <w:t>Item 7. Management’s Discussion and Analysis of Financial Condition and Results of Operations—Operating Results"</w:t>
      </w:r>
      <w:r>
        <w:rPr>
          <w:color w:val="000000"/>
        </w:rPr>
        <w:t xml:space="preserve"> </w:t>
      </w:r>
      <w:r>
        <w:rPr>
          <w:rFonts w:ascii="Arial;sans-serif" w:hAnsi="Arial;sans-serif"/>
          <w:b w:val="false"/>
          <w:color w:val="000000"/>
          <w:sz w:val="20"/>
        </w:rPr>
        <w:t>of the Company’s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Trend Information</w:t>
      </w:r>
    </w:p>
    <w:p>
      <w:pPr>
        <w:pStyle w:val="TextBody"/>
        <w:bidi w:val="0"/>
        <w:spacing w:lineRule="auto" w:line="288" w:before="0" w:after="180"/>
        <w:jc w:val="left"/>
        <w:rPr/>
      </w:pPr>
      <w:r>
        <w:rPr>
          <w:rFonts w:ascii="Arial;sans-serif" w:hAnsi="Arial;sans-serif"/>
          <w:b w:val="false"/>
          <w:color w:val="000000"/>
          <w:sz w:val="20"/>
        </w:rPr>
        <w:t>For a discussion of trend information, see “</w:t>
      </w:r>
      <w:r>
        <w:rPr>
          <w:rFonts w:ascii="Arial;sans-serif" w:hAnsi="Arial;sans-serif"/>
          <w:b w:val="false"/>
          <w:i/>
          <w:color w:val="000000"/>
          <w:sz w:val="20"/>
        </w:rPr>
        <w:t>Item 2. Management’s Discussion and Analysis of Financial Condition and Results of Operations—Operating Results.</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0" w:after="180"/>
        <w:jc w:val="left"/>
        <w:rPr/>
      </w:pPr>
      <w:r>
        <w:rPr>
          <w:rFonts w:ascii="Arial;sans-serif" w:hAnsi="Arial;sans-serif"/>
          <w:b w:val="false"/>
          <w:color w:val="000000"/>
          <w:sz w:val="20"/>
        </w:rPr>
        <w:t xml:space="preserve">Our significant accounting policies, which include management’s estimates and judgments, are included in </w:t>
      </w:r>
      <w:r>
        <w:rPr>
          <w:rFonts w:ascii="Arial;sans-serif" w:hAnsi="Arial;sans-serif"/>
          <w:b w:val="false"/>
          <w:i/>
          <w:color w:val="000000"/>
          <w:sz w:val="20"/>
        </w:rPr>
        <w:t xml:space="preserve">"Item 1. Financial Statements - Note 2 Summary of Significant Accounting Policies" </w:t>
      </w:r>
      <w:r>
        <w:rPr>
          <w:rFonts w:ascii="Arial;sans-serif" w:hAnsi="Arial;sans-serif"/>
          <w:b w:val="false"/>
          <w:color w:val="000000"/>
          <w:sz w:val="20"/>
        </w:rPr>
        <w:t xml:space="preserve">of our Annual Report on Form 10-K for the year ended December 31, 2024. No significant changes to our accounting policies occurred during the quarter ended September 30, 2025. A discussion of accounting estimates considered critical because of the potential for a significant impact on the financial statements due to the inherent uncertainty in such estimates is included in the Critical Accounting Estimates section of </w:t>
      </w:r>
      <w:r>
        <w:rPr>
          <w:rFonts w:ascii="Arial;sans-serif" w:hAnsi="Arial;sans-serif"/>
          <w:b w:val="false"/>
          <w:i/>
          <w:color w:val="000000"/>
          <w:sz w:val="20"/>
        </w:rPr>
        <w:t>"Item 7. Management's Discussion and Analysis of Financial Condition and Results of Operations"</w:t>
      </w:r>
      <w:r>
        <w:rPr>
          <w:color w:val="000000"/>
        </w:rPr>
        <w:t xml:space="preserve"> </w:t>
      </w:r>
      <w:r>
        <w:rPr>
          <w:rFonts w:ascii="Arial;sans-serif" w:hAnsi="Arial;sans-serif"/>
          <w:b w:val="false"/>
          <w:color w:val="000000"/>
          <w:sz w:val="20"/>
        </w:rPr>
        <w:t>of our Annual Report on Form 10-K for the year ended December 31, 2024.</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Recently Issued Accounting Standards</w:t>
      </w:r>
    </w:p>
    <w:p>
      <w:pPr>
        <w:pStyle w:val="TextBody"/>
        <w:bidi w:val="0"/>
        <w:spacing w:lineRule="auto" w:line="288" w:before="0" w:after="180"/>
        <w:jc w:val="left"/>
        <w:rPr/>
      </w:pPr>
      <w:r>
        <w:rPr>
          <w:rFonts w:ascii="Arial;sans-serif" w:hAnsi="Arial;sans-serif"/>
          <w:b w:val="false"/>
          <w:color w:val="000000"/>
          <w:sz w:val="20"/>
        </w:rPr>
        <w:t xml:space="preserve">For a discussion of recently issued accounting standards, refer to </w:t>
      </w:r>
      <w:r>
        <w:rPr>
          <w:rFonts w:ascii="Arial;sans-serif" w:hAnsi="Arial;sans-serif"/>
          <w:b w:val="false"/>
          <w:i/>
          <w:color w:val="000000"/>
          <w:sz w:val="20"/>
        </w:rPr>
        <w:t>Item 1. Financial Statements - Note 1. Business Overview, Basis of Presentation, and Recently Issued Accounting Standards</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2" w:name="i416d29fb751342c0b34e90cc010065a5"/>
      <w:bookmarkEnd w:id="12"/>
      <w:r>
        <w:rPr>
          <w:rFonts w:ascii="Arial;sans-serif" w:hAnsi="Arial;sans-serif"/>
          <w:b/>
          <w:color w:val="000000"/>
          <w:sz w:val="20"/>
        </w:rPr>
        <w:t>Item 3. Quantitative and Qualitative Disclosures About Market Risk.</w:t>
      </w:r>
    </w:p>
    <w:p>
      <w:pPr>
        <w:pStyle w:val="TextBody"/>
        <w:bidi w:val="0"/>
        <w:spacing w:lineRule="auto" w:line="288" w:before="0" w:after="180"/>
        <w:jc w:val="left"/>
        <w:rPr/>
      </w:pPr>
      <w:r>
        <w:rPr>
          <w:rFonts w:ascii="Arial;sans-serif" w:hAnsi="Arial;sans-serif"/>
          <w:b w:val="false"/>
          <w:color w:val="000000"/>
          <w:sz w:val="20"/>
        </w:rPr>
        <w:t xml:space="preserve">No material changes in market risk have occurred from the information provided in </w:t>
      </w:r>
      <w:r>
        <w:rPr>
          <w:rFonts w:ascii="Arial;sans-serif" w:hAnsi="Arial;sans-serif"/>
          <w:b w:val="false"/>
          <w:i/>
          <w:color w:val="000000"/>
          <w:sz w:val="20"/>
        </w:rPr>
        <w:t>Item 7A. Quantitative and Qualitative Disclosures About Market Risk</w:t>
      </w:r>
      <w:r>
        <w:rPr>
          <w:color w:val="000000"/>
        </w:rPr>
        <w:t xml:space="preserve"> </w:t>
      </w:r>
      <w:r>
        <w:rPr>
          <w:rFonts w:ascii="Arial;sans-serif" w:hAnsi="Arial;sans-serif"/>
          <w:b w:val="false"/>
          <w:color w:val="000000"/>
          <w:sz w:val="20"/>
        </w:rPr>
        <w:t>in the Company’s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3" w:name="i43fc600a1176403e89ef1a537085b9ee"/>
      <w:bookmarkEnd w:id="13"/>
      <w:r>
        <w:rPr>
          <w:rFonts w:ascii="Arial;sans-serif" w:hAnsi="Arial;sans-serif"/>
          <w:b/>
          <w:color w:val="000000"/>
          <w:sz w:val="20"/>
        </w:rPr>
        <w:t>Item 4. Controls and Procedures.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 xml:space="preserve">Disclosure Controls and Procedures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Under the supervision and with the participation of management, including our Chief Executive Officer and Chief Financial Officer, we conducted an evaluation of our disclosure controls and procedures as defined in Rule 13a-15(e) of the Securities Exchange Act of 1934, as amended (the "Exchange Act"), as of the end of the period covered by this report. Based on that evaluation, the Chief Executive Officer and Chief Financial Officer concluded that Indivior PLC’s disclosure controls and procedures were effective as of September 30, 2025.</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There was no change in the Company’s internal control over financial reporting ("ICFR", as such term is defined in Exchange Act Rule 13a-15(f)) that occurred during the quarter ended September 30, 2025 that has materially affected, or is likely to materially affect, the Company’s ICFR.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Arial;sans-serif" w:hAnsi="Arial;sans-serif"/>
          <w:b/>
          <w:color w:val="000000"/>
          <w:sz w:val="20"/>
        </w:rPr>
      </w:pPr>
      <w:bookmarkStart w:id="14" w:name="i9a5de6b687dd4fd9b2a39f202b08a9a2"/>
      <w:bookmarkEnd w:id="14"/>
      <w:r>
        <w:rPr>
          <w:rFonts w:ascii="Arial;sans-serif" w:hAnsi="Arial;sans-serif"/>
          <w:b/>
          <w:color w:val="000000"/>
          <w:sz w:val="20"/>
        </w:rPr>
        <w:t>PART II - OTHER INFORMATION</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5" w:name="i73e040268c6b4e6ba918986e0e52cb94"/>
      <w:bookmarkEnd w:id="15"/>
      <w:r>
        <w:rPr>
          <w:rFonts w:ascii="Arial;sans-serif" w:hAnsi="Arial;sans-serif"/>
          <w:b/>
          <w:color w:val="000000"/>
          <w:sz w:val="20"/>
        </w:rPr>
        <w:t>Item 1. Legal Proceedings.</w:t>
      </w:r>
    </w:p>
    <w:p>
      <w:pPr>
        <w:pStyle w:val="TextBody"/>
        <w:bidi w:val="0"/>
        <w:spacing w:lineRule="auto" w:line="288" w:before="0" w:after="180"/>
        <w:jc w:val="left"/>
        <w:rPr/>
      </w:pPr>
      <w:r>
        <w:rPr>
          <w:rFonts w:ascii="Arial;sans-serif" w:hAnsi="Arial;sans-serif"/>
          <w:b w:val="false"/>
          <w:color w:val="000000"/>
          <w:sz w:val="20"/>
          <w:shd w:fill="FFFFFF" w:val="clear"/>
        </w:rPr>
        <w:t xml:space="preserve">The descriptions of our litigation and regulatory matters, and other matters, contained in </w:t>
      </w:r>
      <w:r>
        <w:rPr>
          <w:rFonts w:ascii="Arial;sans-serif" w:hAnsi="Arial;sans-serif"/>
          <w:b w:val="false"/>
          <w:i/>
          <w:color w:val="000000"/>
          <w:sz w:val="20"/>
        </w:rPr>
        <w:t>Item 1. Financial Statements—Unaudited Condensed Consolidated Financial Statements - Note</w:t>
      </w:r>
      <w:r>
        <w:rPr>
          <w:color w:val="000000"/>
          <w:shd w:fill="FFFFFF" w:val="clear"/>
        </w:rPr>
        <w:t xml:space="preserve"> </w:t>
      </w:r>
      <w:r>
        <w:rPr>
          <w:rFonts w:ascii="Arial;sans-serif" w:hAnsi="Arial;sans-serif"/>
          <w:b w:val="false"/>
          <w:i/>
          <w:color w:val="000000"/>
          <w:sz w:val="20"/>
        </w:rPr>
        <w:t>12. Commitments and Contingencies</w:t>
      </w:r>
      <w:r>
        <w:rPr>
          <w:color w:val="000000"/>
        </w:rPr>
        <w:t xml:space="preserve"> </w:t>
      </w:r>
      <w:r>
        <w:rPr>
          <w:rFonts w:ascii="Arial;sans-serif" w:hAnsi="Arial;sans-serif"/>
          <w:b w:val="false"/>
          <w:color w:val="000000"/>
          <w:sz w:val="20"/>
          <w:shd w:fill="FFFFFF" w:val="clear"/>
        </w:rPr>
        <w:t>to our financial statements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shd w:fill="FFFFFF" w:val="clear"/>
        </w:rPr>
      </w:pPr>
      <w:bookmarkStart w:id="16" w:name="iabcb11051e1b4eeb997ddeeb14278ba4"/>
      <w:bookmarkEnd w:id="16"/>
      <w:r>
        <w:rPr>
          <w:rFonts w:ascii="Arial;sans-serif" w:hAnsi="Arial;sans-serif"/>
          <w:b/>
          <w:color w:val="000000"/>
          <w:sz w:val="20"/>
          <w:shd w:fill="FFFFFF" w:val="clear"/>
        </w:rPr>
        <w:t>Item 1A. Risk Factors.</w:t>
      </w:r>
    </w:p>
    <w:p>
      <w:pPr>
        <w:pStyle w:val="TextBody"/>
        <w:bidi w:val="0"/>
        <w:spacing w:lineRule="auto" w:line="288"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7" w:name="id0221d6f5a7848749358e5c1432b1174"/>
      <w:bookmarkEnd w:id="17"/>
      <w:r>
        <w:rPr>
          <w:rFonts w:ascii="Arial;sans-serif" w:hAnsi="Arial;sans-serif"/>
          <w:b/>
          <w:color w:val="000000"/>
          <w:sz w:val="20"/>
        </w:rPr>
        <w:t>Item 2. Unregistered Sales of Equity Securities and Use of Proceeds.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 Shares of common stock repurchased by the Company during the quarter ended September 30, 2025, were as follows:</w:t>
      </w:r>
    </w:p>
    <w:tbl>
      <w:tblPr>
        <w:tblW w:w="10205" w:type="dxa"/>
        <w:jc w:val="center"/>
        <w:tblInd w:w="0" w:type="dxa"/>
        <w:tblLayout w:type="fixed"/>
        <w:tblCellMar>
          <w:top w:w="28" w:type="dxa"/>
          <w:left w:w="28" w:type="dxa"/>
          <w:bottom w:w="28" w:type="dxa"/>
          <w:right w:w="28" w:type="dxa"/>
        </w:tblCellMar>
      </w:tblPr>
      <w:tblGrid>
        <w:gridCol w:w="368"/>
        <w:gridCol w:w="323"/>
        <w:gridCol w:w="325"/>
        <w:gridCol w:w="553"/>
        <w:gridCol w:w="553"/>
        <w:gridCol w:w="554"/>
        <w:gridCol w:w="458"/>
        <w:gridCol w:w="458"/>
        <w:gridCol w:w="460"/>
        <w:gridCol w:w="1000"/>
        <w:gridCol w:w="1000"/>
        <w:gridCol w:w="1003"/>
        <w:gridCol w:w="947"/>
        <w:gridCol w:w="906"/>
        <w:gridCol w:w="1297"/>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Period</w:t>
            </w:r>
          </w:p>
        </w:tc>
        <w:tc>
          <w:tcPr>
            <w:tcW w:w="16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Number of shares purchased</w:t>
            </w:r>
          </w:p>
        </w:tc>
        <w:tc>
          <w:tcPr>
            <w:tcW w:w="13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Average price paid per share</w:t>
            </w:r>
          </w:p>
        </w:tc>
        <w:tc>
          <w:tcPr>
            <w:tcW w:w="30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number of shares purchased as part of publicly announced plans or programs</w:t>
            </w:r>
          </w:p>
        </w:tc>
        <w:tc>
          <w:tcPr>
            <w:tcW w:w="3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180"/>
              <w:jc w:val="left"/>
              <w:rPr/>
            </w:pPr>
            <w:r>
              <w:rPr>
                <w:rFonts w:ascii="Arial;sans-serif" w:hAnsi="Arial;sans-serif"/>
                <w:b w:val="false"/>
                <w:color w:val="000000"/>
                <w:sz w:val="20"/>
              </w:rPr>
              <w:t>Maximum number of shares that may yet be purchased under the plans or programs</w:t>
            </w:r>
            <w:r>
              <w:rPr>
                <w:rFonts w:ascii="Arial;sans-serif" w:hAnsi="Arial;sans-serif"/>
                <w:b w:val="false"/>
                <w:color w:val="000000"/>
                <w:sz w:val="13"/>
              </w:rPr>
              <w:t>(1)</w:t>
            </w:r>
          </w:p>
        </w:tc>
      </w:tr>
      <w:tr>
        <w:trPr/>
        <w:tc>
          <w:tcPr>
            <w:tcW w:w="101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Jul. 1 to Jul. 31</w:t>
            </w:r>
          </w:p>
        </w:tc>
        <w:tc>
          <w:tcPr>
            <w:tcW w:w="1660"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76"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003"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15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12,465,585</w:t>
            </w:r>
          </w:p>
        </w:tc>
      </w:tr>
      <w:tr>
        <w:trPr/>
        <w:tc>
          <w:tcPr>
            <w:tcW w:w="10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Aug. 1 to Aug 31</w:t>
            </w:r>
          </w:p>
        </w:tc>
        <w:tc>
          <w:tcPr>
            <w:tcW w:w="166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180"/>
              <w:jc w:val="right"/>
              <w:rPr/>
            </w:pPr>
            <w:r>
              <w:rPr>
                <w:rFonts w:ascii="Arial;sans-serif" w:hAnsi="Arial;sans-serif"/>
                <w:b w:val="false"/>
                <w:color w:val="000000"/>
                <w:sz w:val="20"/>
              </w:rPr>
              <w:t>2,053</w:t>
            </w:r>
            <w:r>
              <w:rPr>
                <w:rFonts w:ascii="Arial;sans-serif" w:hAnsi="Arial;sans-serif"/>
                <w:b w:val="false"/>
                <w:color w:val="000000"/>
                <w:sz w:val="13"/>
              </w:rPr>
              <w:t>(2)</w:t>
            </w:r>
          </w:p>
        </w:tc>
        <w:tc>
          <w:tcPr>
            <w:tcW w:w="13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$24.28</w:t>
            </w:r>
          </w:p>
        </w:tc>
        <w:tc>
          <w:tcPr>
            <w:tcW w:w="300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15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12,465,585</w:t>
            </w:r>
          </w:p>
        </w:tc>
      </w:tr>
      <w:tr>
        <w:trPr/>
        <w:tc>
          <w:tcPr>
            <w:tcW w:w="1016" w:type="dxa"/>
            <w:gridSpan w:val="3"/>
            <w:tcBorders>
              <w:top w:val="single" w:sz="8" w:space="0" w:color="000000"/>
              <w:left w:val="single" w:sz="8" w:space="0" w:color="000000"/>
              <w:bottom w:val="single" w:sz="8" w:space="0" w:color="000000"/>
            </w:tcBorders>
            <w:shd w:fill="BFE4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 1 to Sept. 30</w:t>
            </w:r>
          </w:p>
        </w:tc>
        <w:tc>
          <w:tcPr>
            <w:tcW w:w="1660" w:type="dxa"/>
            <w:gridSpan w:val="3"/>
            <w:tcBorders>
              <w:top w:val="single" w:sz="8" w:space="0" w:color="000000"/>
              <w:left w:val="single" w:sz="8" w:space="0" w:color="000000"/>
              <w:bottom w:val="single" w:sz="8" w:space="0" w:color="000000"/>
            </w:tcBorders>
            <w:shd w:fill="BFE4FF" w:val="clear"/>
            <w:tcMar>
              <w:top w:w="30" w:type="dxa"/>
              <w:bottom w:w="30" w:type="dxa"/>
              <w:right w:w="0" w:type="dxa"/>
            </w:tcMar>
            <w:vAlign w:val="center"/>
          </w:tcPr>
          <w:p>
            <w:pPr>
              <w:pStyle w:val="TableContents"/>
              <w:bidi w:val="0"/>
              <w:spacing w:lineRule="auto" w:line="288" w:before="0" w:after="180"/>
              <w:jc w:val="right"/>
              <w:rPr/>
            </w:pPr>
            <w:r>
              <w:rPr>
                <w:rFonts w:ascii="Arial;sans-serif" w:hAnsi="Arial;sans-serif"/>
                <w:b w:val="false"/>
                <w:color w:val="000000"/>
                <w:sz w:val="20"/>
              </w:rPr>
              <w:t>33,086</w:t>
            </w:r>
            <w:r>
              <w:rPr>
                <w:rFonts w:ascii="Arial;sans-serif" w:hAnsi="Arial;sans-serif"/>
                <w:b w:val="false"/>
                <w:color w:val="000000"/>
                <w:sz w:val="13"/>
              </w:rPr>
              <w:t>(2)</w:t>
            </w:r>
          </w:p>
        </w:tc>
        <w:tc>
          <w:tcPr>
            <w:tcW w:w="1376" w:type="dxa"/>
            <w:gridSpan w:val="3"/>
            <w:tcBorders>
              <w:top w:val="single" w:sz="8" w:space="0" w:color="000000"/>
              <w:left w:val="single" w:sz="8" w:space="0" w:color="000000"/>
              <w:bottom w:val="single" w:sz="8" w:space="0" w:color="000000"/>
            </w:tcBorders>
            <w:shd w:fill="BFE4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$24.73</w:t>
            </w:r>
          </w:p>
        </w:tc>
        <w:tc>
          <w:tcPr>
            <w:tcW w:w="3003" w:type="dxa"/>
            <w:gridSpan w:val="3"/>
            <w:tcBorders>
              <w:top w:val="single" w:sz="8" w:space="0" w:color="000000"/>
              <w:left w:val="single" w:sz="8" w:space="0" w:color="000000"/>
              <w:bottom w:val="single" w:sz="8" w:space="0" w:color="000000"/>
            </w:tcBorders>
            <w:shd w:fill="BFE4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150" w:type="dxa"/>
            <w:gridSpan w:val="3"/>
            <w:tcBorders>
              <w:top w:val="single" w:sz="8" w:space="0" w:color="000000"/>
              <w:left w:val="single" w:sz="8" w:space="0" w:color="000000"/>
              <w:bottom w:val="single" w:sz="8" w:space="0" w:color="000000"/>
              <w:right w:val="single" w:sz="8" w:space="0" w:color="000000"/>
            </w:tcBorders>
            <w:shd w:fill="BFE4FF" w:val="clear"/>
            <w:tcMar>
              <w:top w:w="30" w:type="dxa"/>
              <w:bottom w:w="3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12,465,585</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(1)Reflects balance of shares that might be repurchased under the authority granted by shareholders at the Annual General Meeting ("AGM") held May 8, 2025. No Board authority to repurchase shares existed after January 31, 2025.</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(2)Reflects shares netted to pay applicable withholding taxes on the release of awards under the 2023 LTIP, 2024 LTIP, and 2025 LTIP.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8" w:name="i880845a9a0474ed0b605c0f3ea12ddb5"/>
      <w:bookmarkEnd w:id="18"/>
      <w:r>
        <w:rPr>
          <w:rFonts w:ascii="Arial;sans-serif" w:hAnsi="Arial;sans-serif"/>
          <w:b/>
          <w:color w:val="000000"/>
          <w:sz w:val="20"/>
        </w:rPr>
        <w:t>Item 3. Defaults Upon Senior Securities.</w:t>
      </w:r>
    </w:p>
    <w:p>
      <w:pPr>
        <w:pStyle w:val="TextBody"/>
        <w:bidi w:val="0"/>
        <w:spacing w:lineRule="auto" w:line="288"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9" w:name="i42e62525941244059fb0f0cdab35f442"/>
      <w:bookmarkEnd w:id="19"/>
      <w:r>
        <w:rPr>
          <w:rFonts w:ascii="Arial;sans-serif" w:hAnsi="Arial;sans-serif"/>
          <w:b/>
          <w:color w:val="000000"/>
          <w:sz w:val="20"/>
        </w:rPr>
        <w:t>Item 4. Mine Safety Disclosures.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shd w:fill="FFFFFF" w:val="clear"/>
        </w:rPr>
      </w:pPr>
      <w:bookmarkStart w:id="20" w:name="i3cf5365963c14471abe4b0a7550524ba"/>
      <w:bookmarkEnd w:id="20"/>
      <w:r>
        <w:rPr>
          <w:rFonts w:ascii="Arial;sans-serif" w:hAnsi="Arial;sans-serif"/>
          <w:b/>
          <w:color w:val="000000"/>
          <w:sz w:val="20"/>
          <w:shd w:fill="FFFFFF" w:val="clear"/>
        </w:rPr>
        <w:t>Item 5. Other Information.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Arial;sans-serif" w:hAnsi="Arial;sans-serif"/>
          <w:b/>
          <w:color w:val="000000"/>
          <w:sz w:val="20"/>
        </w:rPr>
      </w:pPr>
      <w:bookmarkStart w:id="21" w:name="i59e7210dd38b40bdaf0cb2496741c213"/>
      <w:bookmarkEnd w:id="21"/>
      <w:r>
        <w:rPr>
          <w:rFonts w:ascii="Arial;sans-serif" w:hAnsi="Arial;sans-serif"/>
          <w:b/>
          <w:color w:val="000000"/>
          <w:sz w:val="20"/>
        </w:rPr>
        <w:t>Item 6. Exhibits.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 See Exhibit Index below</w:t>
      </w:r>
    </w:p>
    <w:tbl>
      <w:tblPr>
        <w:tblW w:w="10205" w:type="dxa"/>
        <w:jc w:val="left"/>
        <w:tblInd w:w="0" w:type="dxa"/>
        <w:tblLayout w:type="fixed"/>
        <w:tblCellMar>
          <w:top w:w="28" w:type="dxa"/>
          <w:left w:w="28" w:type="dxa"/>
          <w:bottom w:w="28" w:type="dxa"/>
          <w:right w:w="28" w:type="dxa"/>
        </w:tblCellMar>
      </w:tblPr>
      <w:tblGrid>
        <w:gridCol w:w="289"/>
        <w:gridCol w:w="253"/>
        <w:gridCol w:w="254"/>
        <w:gridCol w:w="109"/>
        <w:gridCol w:w="109"/>
        <w:gridCol w:w="109"/>
        <w:gridCol w:w="2839"/>
        <w:gridCol w:w="2574"/>
        <w:gridCol w:w="3669"/>
      </w:tblGrid>
      <w:tr>
        <w:trPr/>
        <w:tc>
          <w:tcPr>
            <w:tcW w:w="28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Description</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FF"/>
                  <w:sz w:val="20"/>
                  <w:u w:val="single"/>
                </w:rPr>
                <w:t>Articles of Association</w:t>
              </w:r>
            </w:hyperlink>
            <w:r>
              <w:rPr>
                <w:color w:val="000000"/>
              </w:rPr>
              <w:t xml:space="preserve"> </w:t>
            </w:r>
            <w:r>
              <w:rPr>
                <w:rFonts w:ascii="Arial;sans-serif" w:hAnsi="Arial;sans-serif"/>
                <w:b w:val="false"/>
                <w:color w:val="000000"/>
                <w:sz w:val="20"/>
              </w:rPr>
              <w:t>of Indivior PLC (adopted at the 2025 Annual General Meeting of Indivior PLC) (incorporated by reference to Exhibit 3.1 to Quarterly Report on Form 10-Q filed July 31, 2025).</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FF"/>
                  <w:sz w:val="20"/>
                  <w:u w:val="single"/>
                </w:rPr>
                <w:t>Contingent Value Rights Agreement dated as of March 2, 2023 between Indivior, Inc., Computershare Inc. and Computershare Trust Company, N.A.</w:t>
              </w:r>
            </w:hyperlink>
            <w:r>
              <w:rPr>
                <w:color w:val="000000"/>
              </w:rPr>
              <w:t xml:space="preserve"> </w:t>
            </w:r>
            <w:r>
              <w:rPr>
                <w:rFonts w:ascii="Arial;sans-serif" w:hAnsi="Arial;sans-serif"/>
                <w:b w:val="false"/>
                <w:color w:val="000000"/>
                <w:sz w:val="20"/>
              </w:rPr>
              <w:t>(incorporated by reference to Exhibit 4.21 to registration statement on Form 20-F filed May 23, 2023).</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Employment Agreement</w:t>
              </w:r>
            </w:hyperlink>
            <w:r>
              <w:rPr>
                <w:color w:val="000000"/>
              </w:rPr>
              <w:t xml:space="preserve"> </w:t>
            </w:r>
            <w:r>
              <w:rPr>
                <w:rFonts w:ascii="Arial;sans-serif" w:hAnsi="Arial;sans-serif"/>
                <w:b w:val="false"/>
                <w:color w:val="000000"/>
                <w:sz w:val="20"/>
              </w:rPr>
              <w:t>dated as of January 1, 2025 by Indivior, Inc. and Ryan Preblick(incorporated by reference to Exhibit 10.1 to Current Report on Form 8-K filed August 22, 2025).</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Confidentiality, Proprietary Rights and Non-Competition Agreement</w:t>
              </w:r>
            </w:hyperlink>
            <w:r>
              <w:rPr>
                <w:color w:val="000000"/>
              </w:rPr>
              <w:t xml:space="preserve"> </w:t>
            </w:r>
            <w:r>
              <w:rPr>
                <w:rFonts w:ascii="Arial;sans-serif" w:hAnsi="Arial;sans-serif"/>
                <w:b w:val="false"/>
                <w:color w:val="000000"/>
                <w:sz w:val="20"/>
              </w:rPr>
              <w:t>entered into as of January 1, 2025 by Indivior, Inc. and Ryan Preblick (incorporated by reference to Exhibit 10.1 to Current Report on Form 8-K filed August 22, 2025).</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ceosoxcert3q2025.htm">
              <w:r>
                <w:rPr>
                  <w:rStyle w:val="InternetLink"/>
                  <w:rFonts w:ascii="Arial;sans-serif" w:hAnsi="Arial;sans-serif"/>
                  <w:b w:val="false"/>
                  <w:color w:val="0000FF"/>
                  <w:sz w:val="20"/>
                  <w:u w:val="single"/>
                </w:rPr>
                <w:t>Certification of Chief Executive Officer</w:t>
              </w:r>
            </w:hyperlink>
            <w:r>
              <w:rPr>
                <w:color w:val="000000"/>
              </w:rPr>
              <w:t xml:space="preserve"> </w:t>
            </w:r>
            <w:r>
              <w:rPr>
                <w:rFonts w:ascii="Arial;sans-serif" w:hAnsi="Arial;sans-serif"/>
                <w:b w:val="false"/>
                <w:color w:val="000000"/>
                <w:sz w:val="20"/>
              </w:rPr>
              <w:t>under Section 302 of the Sarbanes-Oxley Act of 2002.</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2cfosoxcert3q2025.htm">
              <w:r>
                <w:rPr>
                  <w:rStyle w:val="InternetLink"/>
                  <w:rFonts w:ascii="Arial;sans-serif" w:hAnsi="Arial;sans-serif"/>
                  <w:b w:val="false"/>
                  <w:color w:val="0000FF"/>
                  <w:sz w:val="20"/>
                  <w:u w:val="single"/>
                </w:rPr>
                <w:t>Certification of Chief Financial Officer</w:t>
              </w:r>
            </w:hyperlink>
            <w:r>
              <w:rPr>
                <w:color w:val="000000"/>
              </w:rPr>
              <w:t xml:space="preserve"> </w:t>
            </w:r>
            <w:r>
              <w:rPr>
                <w:rFonts w:ascii="Arial;sans-serif" w:hAnsi="Arial;sans-serif"/>
                <w:b w:val="false"/>
                <w:color w:val="000000"/>
                <w:sz w:val="20"/>
              </w:rPr>
              <w:t>under Section 302 of the Sarbanes-Oxley Act of 2002.</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32.1</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ceosoxcert3q2025.htm">
              <w:r>
                <w:rPr>
                  <w:rStyle w:val="InternetLink"/>
                  <w:rFonts w:ascii="Arial;sans-serif" w:hAnsi="Arial;sans-serif"/>
                  <w:b w:val="false"/>
                  <w:color w:val="0000FF"/>
                  <w:sz w:val="20"/>
                  <w:u w:val="single"/>
                </w:rPr>
                <w:t>Certification of Chief Executive Officer</w:t>
              </w:r>
            </w:hyperlink>
            <w:r>
              <w:rPr>
                <w:color w:val="000000"/>
              </w:rPr>
              <w:t xml:space="preserve"> </w:t>
            </w:r>
            <w:r>
              <w:rPr>
                <w:rFonts w:ascii="Arial;sans-serif" w:hAnsi="Arial;sans-serif"/>
                <w:b w:val="false"/>
                <w:color w:val="000000"/>
                <w:sz w:val="20"/>
              </w:rPr>
              <w:t>under Section 906 of the Sarbanes-Oxley Act of 2002.</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32.2</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2cfosoxcert3q2025.htm">
              <w:r>
                <w:rPr>
                  <w:rStyle w:val="InternetLink"/>
                  <w:rFonts w:ascii="Arial;sans-serif" w:hAnsi="Arial;sans-serif"/>
                  <w:b w:val="false"/>
                  <w:color w:val="0000FF"/>
                  <w:sz w:val="20"/>
                  <w:u w:val="single"/>
                </w:rPr>
                <w:t>Certification of Chief Financial Officer</w:t>
              </w:r>
            </w:hyperlink>
            <w:r>
              <w:rPr>
                <w:color w:val="000000"/>
              </w:rPr>
              <w:t xml:space="preserve"> </w:t>
            </w:r>
            <w:r>
              <w:rPr>
                <w:rFonts w:ascii="Arial;sans-serif" w:hAnsi="Arial;sans-serif"/>
                <w:b w:val="false"/>
                <w:color w:val="000000"/>
                <w:sz w:val="20"/>
              </w:rPr>
              <w:t>under Section 906 of the Sarbanes-Oxley Act of 2002.</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Inline Interactive Data File</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Document—this instance document does not appear in the Interactive Data File because XBRL tags are embedded within the Inline XBRL document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*Management Contract</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#Filed herewith</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16"/>
        </w:rPr>
        <w:t>Furnished herewith</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180"/>
        <w:jc w:val="left"/>
        <w:rPr/>
      </w:pPr>
      <w:r>
        <w:rPr/>
      </w:r>
    </w:p>
    <w:p>
      <w:pPr>
        <w:pStyle w:val="TextBody"/>
        <w:bidi w:val="0"/>
        <w:spacing w:before="0" w:after="0"/>
        <w:ind w:left="0" w:right="0" w:hanging="36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Arial;sans-serif" w:hAnsi="Arial;sans-serif"/>
          <w:b/>
          <w:color w:val="000000"/>
          <w:sz w:val="20"/>
        </w:rPr>
      </w:pPr>
      <w:bookmarkStart w:id="22" w:name="i59836058b11e4c9fb668f96cbdd2b8ec"/>
      <w:bookmarkEnd w:id="22"/>
      <w:r>
        <w:rPr>
          <w:rFonts w:ascii="Arial;sans-serif" w:hAnsi="Arial;sans-serif"/>
          <w:b/>
          <w:color w:val="000000"/>
          <w:sz w:val="20"/>
        </w:rPr>
        <w:t>SIGNATURES</w:t>
      </w:r>
    </w:p>
    <w:p>
      <w:pPr>
        <w:pStyle w:val="TextBody"/>
        <w:bidi w:val="0"/>
        <w:spacing w:before="0" w:after="180"/>
        <w:jc w:val="left"/>
        <w:rPr/>
      </w:pPr>
      <w:r>
        <w:rPr/>
      </w:r>
    </w:p>
    <w:p>
      <w:pPr>
        <w:pStyle w:val="TextBody"/>
        <w:bidi w:val="0"/>
        <w:spacing w:lineRule="auto" w:line="288" w:before="0" w:after="180"/>
        <w:jc w:val="left"/>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r>
        <w:rPr>
          <w:rFonts w:ascii="Arial;sans-serif" w:hAnsi="Arial;sans-serif"/>
          <w:b w:val="false"/>
          <w:color w:val="000000"/>
          <w:sz w:val="20"/>
          <w:shd w:fill="FFFFFF" w:val="clear"/>
        </w:rPr>
        <w: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INDIVIOR PLC (Registrant)</w:t>
      </w:r>
    </w:p>
    <w:p>
      <w:pPr>
        <w:pStyle w:val="TextBody"/>
        <w:bidi w:val="0"/>
        <w:spacing w:lineRule="auto" w:line="288" w:before="0" w:after="60"/>
        <w:jc w:val="left"/>
        <w:rPr/>
      </w:pPr>
      <w:r>
        <w:rPr>
          <w:rFonts w:ascii="Arial;sans-serif" w:hAnsi="Arial;sans-serif"/>
          <w:b w:val="false"/>
          <w:color w:val="000000"/>
          <w:sz w:val="20"/>
          <w:shd w:fill="FFFFFF" w:val="clear"/>
        </w:rPr>
        <w:t xml:space="preserve">By: </w:t>
      </w:r>
      <w:r>
        <w:rPr>
          <w:rFonts w:ascii="Arial;sans-serif" w:hAnsi="Arial;sans-serif"/>
          <w:b w:val="false"/>
          <w:color w:val="000000"/>
          <w:sz w:val="20"/>
          <w:u w:val="single"/>
          <w:shd w:fill="FFFFFF" w:val="clear"/>
        </w:rPr>
        <w:t>/s/ Ryan Preblick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Ryan Preblick, Chief Financial Officer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(Principal Financial Officer)</w:t>
      </w:r>
    </w:p>
    <w:p>
      <w:pPr>
        <w:pStyle w:val="TextBody"/>
        <w:bidi w:val="0"/>
        <w:spacing w:lineRule="auto" w:line="288"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October 30,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Exhibit 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OF CHIEF EXECUTIVE OFFICER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RULES 13a-14(A) AND 15d-14(A)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before="0" w:after="0"/>
        <w:jc w:val="center"/>
        <w:rPr/>
      </w:pPr>
      <w:r>
        <w:rPr/>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I, Joe Ciaffoni, certify that:</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I have reviewed this Quarterly Report on Form 10-Q of Indivior PLC;</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5. The registrant's other certifying officer(s) and I have disclosed, based on our most recent evaluation of internal control over financial reporting, to the registrant's auditors and the </w:t>
      </w:r>
    </w:p>
    <w:p>
      <w:pPr>
        <w:pStyle w:val="TextBody"/>
        <w:bidi w:val="0"/>
        <w:spacing w:before="0" w:after="16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audit committee of the registrant's board of directors (or persons performing the equivalent functions):</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Any fraud, whether or not material, that involves management or other employees who have a significant role in the registrant's internal control over financial reporting.</w:t>
      </w:r>
    </w:p>
    <w:p>
      <w:pPr>
        <w:pStyle w:val="TextBody"/>
        <w:bidi w:val="0"/>
        <w:spacing w:lineRule="auto" w:line="321" w:before="0" w:after="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Date: October 30, 2025</w:t>
      </w:r>
    </w:p>
    <w:tbl>
      <w:tblPr>
        <w:tblW w:w="2711" w:type="dxa"/>
        <w:jc w:val="left"/>
        <w:tblInd w:w="0" w:type="dxa"/>
        <w:tblLayout w:type="fixed"/>
        <w:tblCellMar>
          <w:top w:w="28" w:type="dxa"/>
          <w:left w:w="28" w:type="dxa"/>
          <w:bottom w:w="28" w:type="dxa"/>
          <w:right w:w="28" w:type="dxa"/>
        </w:tblCellMar>
      </w:tblPr>
      <w:tblGrid>
        <w:gridCol w:w="124"/>
        <w:gridCol w:w="109"/>
        <w:gridCol w:w="109"/>
        <w:gridCol w:w="693"/>
        <w:gridCol w:w="693"/>
        <w:gridCol w:w="9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Joseph Ciaffoni</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Joseph Ciaffoni,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OF CHIEF FINANCIAL OFFICER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RULES 13a-14(A) AND 15d-14(A)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before="0" w:after="0"/>
        <w:jc w:val="center"/>
        <w:rPr/>
      </w:pPr>
      <w:r>
        <w:rPr/>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2"/>
        </w:rPr>
        <w:t>I, Ryan Preblick, certify that:</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I have reviewed this Quarterly Report on Form 10-Q of Indivior PLC;</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60"/>
        <w:ind w:left="0" w:right="0" w:firstLine="72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21"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Any fraud, whether or not material, that involves management or other employees who have a significant role in the registrant's internal control over financial reporting.</w:t>
      </w:r>
    </w:p>
    <w:p>
      <w:pPr>
        <w:pStyle w:val="TextBody"/>
        <w:bidi w:val="0"/>
        <w:spacing w:lineRule="auto" w:line="321" w:before="0" w:after="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Date: October 30, 2025</w:t>
      </w:r>
    </w:p>
    <w:tbl>
      <w:tblPr>
        <w:tblW w:w="2636" w:type="dxa"/>
        <w:jc w:val="left"/>
        <w:tblInd w:w="0" w:type="dxa"/>
        <w:tblLayout w:type="fixed"/>
        <w:tblCellMar>
          <w:top w:w="28" w:type="dxa"/>
          <w:left w:w="28" w:type="dxa"/>
          <w:bottom w:w="28" w:type="dxa"/>
          <w:right w:w="28" w:type="dxa"/>
        </w:tblCellMar>
      </w:tblPr>
      <w:tblGrid>
        <w:gridCol w:w="124"/>
        <w:gridCol w:w="109"/>
        <w:gridCol w:w="109"/>
        <w:gridCol w:w="671"/>
        <w:gridCol w:w="671"/>
        <w:gridCol w:w="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Ryan Preblick</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Ryan Preblick,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color w:val="000000"/>
          <w:sz w:val="20"/>
          <w:u w:val="single"/>
        </w:rPr>
      </w:pPr>
      <w:r>
        <w:rPr>
          <w:rFonts w:ascii="Times New Roman;serif" w:hAnsi="Times New Roman;serif"/>
          <w:b/>
          <w:color w:val="000000"/>
          <w:sz w:val="20"/>
          <w:u w:val="single"/>
        </w:rPr>
        <w:t>Exhibit 32.1</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160"/>
        <w:jc w:val="left"/>
        <w:rPr/>
      </w:pPr>
      <w:r>
        <w:rPr/>
      </w:r>
    </w:p>
    <w:p>
      <w:pPr>
        <w:pStyle w:val="TextBody"/>
        <w:bidi w:val="0"/>
        <w:spacing w:lineRule="auto" w:line="321"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the undersigned, Chief Executive Officer of Indivior PLC (the "Company"), does hereby certify that:</w:t>
      </w:r>
    </w:p>
    <w:p>
      <w:pPr>
        <w:pStyle w:val="TextBody"/>
        <w:bidi w:val="0"/>
        <w:spacing w:lineRule="auto" w:line="321"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for the fiscal period ended September 30, 2025 (the "Form 10-Q") of the Company fully complies with the requirements of Section 13(a) or 15(d) of the Securities Exchange Act of 1934; and</w:t>
      </w:r>
    </w:p>
    <w:p>
      <w:pPr>
        <w:pStyle w:val="TextBody"/>
        <w:bidi w:val="0"/>
        <w:spacing w:lineRule="auto" w:line="321"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Form 10-Q fairly presents, in all material respects, the financial condition and results of operations of the Company.</w:t>
      </w:r>
    </w:p>
    <w:p>
      <w:pPr>
        <w:pStyle w:val="TextBody"/>
        <w:bidi w:val="0"/>
        <w:spacing w:lineRule="auto" w:line="321"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October 30, 2025</w:t>
      </w:r>
    </w:p>
    <w:tbl>
      <w:tblPr>
        <w:tblW w:w="2411" w:type="dxa"/>
        <w:jc w:val="left"/>
        <w:tblInd w:w="0" w:type="dxa"/>
        <w:tblLayout w:type="fixed"/>
        <w:tblCellMar>
          <w:top w:w="28" w:type="dxa"/>
          <w:left w:w="28" w:type="dxa"/>
          <w:bottom w:w="28" w:type="dxa"/>
          <w:right w:w="28" w:type="dxa"/>
        </w:tblCellMar>
      </w:tblPr>
      <w:tblGrid>
        <w:gridCol w:w="124"/>
        <w:gridCol w:w="109"/>
        <w:gridCol w:w="109"/>
        <w:gridCol w:w="606"/>
        <w:gridCol w:w="606"/>
        <w:gridCol w:w="8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Ciaffoni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Joseph Ciaffoni, </w:t>
            </w:r>
          </w:p>
          <w:p>
            <w:pPr>
              <w:pStyle w:val="TableContents"/>
              <w:bidi w:val="0"/>
              <w:spacing w:lineRule="auto" w:line="321"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160"/>
        <w:jc w:val="left"/>
        <w:rPr/>
      </w:pPr>
      <w:r>
        <w:rPr/>
      </w:r>
    </w:p>
    <w:p>
      <w:pPr>
        <w:pStyle w:val="TextBody"/>
        <w:bidi w:val="0"/>
        <w:spacing w:before="0" w:after="160"/>
        <w:ind w:left="0" w:right="0" w:firstLine="720"/>
        <w:jc w:val="left"/>
        <w:rPr/>
      </w:pPr>
      <w:r>
        <w:rPr/>
      </w:r>
    </w:p>
    <w:p>
      <w:pPr>
        <w:pStyle w:val="TextBody"/>
        <w:bidi w:val="0"/>
        <w:spacing w:before="0" w:after="160"/>
        <w:ind w:left="0" w:right="0" w:firstLine="72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color w:val="000000"/>
          <w:sz w:val="20"/>
          <w:u w:val="single"/>
        </w:rPr>
      </w:pPr>
      <w:r>
        <w:rPr>
          <w:rFonts w:ascii="Times New Roman;serif" w:hAnsi="Times New Roman;serif"/>
          <w:b/>
          <w:color w:val="000000"/>
          <w:sz w:val="20"/>
          <w:u w:val="single"/>
        </w:rPr>
        <w:t>Exhibit 32.2</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160"/>
        <w:jc w:val="left"/>
        <w:rPr/>
      </w:pPr>
      <w:r>
        <w:rPr/>
      </w:r>
    </w:p>
    <w:p>
      <w:pPr>
        <w:pStyle w:val="TextBody"/>
        <w:bidi w:val="0"/>
        <w:spacing w:lineRule="auto" w:line="321"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the undersigned, Chief Financial Officer of Indivior PLC (the "Company"), does hereby certify that:</w:t>
      </w:r>
    </w:p>
    <w:p>
      <w:pPr>
        <w:pStyle w:val="TextBody"/>
        <w:bidi w:val="0"/>
        <w:spacing w:lineRule="auto" w:line="321"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for the fiscal period ended September 30, 2025 (the "Form 10-Q") of the Company fully complies with the requirements of Section 13(a) or 15(d) of the Securities Exchange Act of 1934; and</w:t>
      </w:r>
    </w:p>
    <w:p>
      <w:pPr>
        <w:pStyle w:val="TextBody"/>
        <w:bidi w:val="0"/>
        <w:spacing w:lineRule="auto" w:line="321"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Form 10-Q fairly presents, in all material respects, the financial condition and results of operations of the Company.</w:t>
      </w:r>
    </w:p>
    <w:p>
      <w:pPr>
        <w:pStyle w:val="TextBody"/>
        <w:bidi w:val="0"/>
        <w:spacing w:lineRule="auto" w:line="321"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October 30, 2025</w:t>
      </w:r>
    </w:p>
    <w:tbl>
      <w:tblPr>
        <w:tblW w:w="3597" w:type="dxa"/>
        <w:jc w:val="left"/>
        <w:tblInd w:w="0" w:type="dxa"/>
        <w:tblLayout w:type="fixed"/>
        <w:tblCellMar>
          <w:top w:w="28" w:type="dxa"/>
          <w:left w:w="28" w:type="dxa"/>
          <w:bottom w:w="28" w:type="dxa"/>
          <w:right w:w="28" w:type="dxa"/>
        </w:tblCellMar>
      </w:tblPr>
      <w:tblGrid>
        <w:gridCol w:w="124"/>
        <w:gridCol w:w="109"/>
        <w:gridCol w:w="109"/>
        <w:gridCol w:w="953"/>
        <w:gridCol w:w="953"/>
        <w:gridCol w:w="13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/s/ Ryan Preblick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Ryan Preblick, Chief Financial Officer</w:t>
            </w:r>
          </w:p>
        </w:tc>
      </w:tr>
    </w:tbl>
    <w:p>
      <w:pPr>
        <w:pStyle w:val="TextBody"/>
        <w:bidi w:val="0"/>
        <w:spacing w:before="0" w:after="160"/>
        <w:jc w:val="left"/>
        <w:rPr/>
      </w:pPr>
      <w:r>
        <w:rPr/>
      </w:r>
    </w:p>
    <w:p>
      <w:pPr>
        <w:pStyle w:val="TextBody"/>
        <w:bidi w:val="0"/>
        <w:spacing w:before="0" w:after="160"/>
        <w:ind w:left="0" w:right="0" w:firstLine="720"/>
        <w:jc w:val="left"/>
        <w:rPr/>
      </w:pPr>
      <w:r>
        <w:rPr/>
      </w:r>
    </w:p>
    <w:p>
      <w:pPr>
        <w:pStyle w:val="TextBody"/>
        <w:bidi w:val="0"/>
        <w:spacing w:before="0" w:after="160"/>
        <w:ind w:left="0" w:right="0" w:firstLine="72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5297/000162529725000050/ex31articlesofassociationa.htm" TargetMode="External"/><Relationship Id="rId3" Type="http://schemas.openxmlformats.org/officeDocument/2006/relationships/hyperlink" Target="https://www.sec.gov/Archives/edgar/data/1625297/000162828023019402/exhibit421-20f.htm" TargetMode="External"/><Relationship Id="rId4" Type="http://schemas.openxmlformats.org/officeDocument/2006/relationships/hyperlink" Target="https://www.sec.gov/Archives/edgar/data/1625297/000162529725000056/ex101indiviorexecutiveempl.htm" TargetMode="External"/><Relationship Id="rId5" Type="http://schemas.openxmlformats.org/officeDocument/2006/relationships/hyperlink" Target="https://www.sec.gov/Archives/edgar/data/1625297/000162529725000056/ex102indiviornon-competiti.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14188</Words>
  <Characters>76570</Characters>
  <CharactersWithSpaces>89110</CharactersWithSpaces>
  <Paragraphs>2467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