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1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18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val="false"/>
          <w:color w:val="000000"/>
          <w:sz w:val="20"/>
          <w:shd w:fill="FFFFFF" w:val="clear"/>
        </w:rPr>
        <w:t>September 9, 2026</w:t>
      </w:r>
    </w:p>
    <w:p>
      <w:pPr>
        <w:pStyle w:val="TextBody"/>
        <w:bidi w:val="0"/>
        <w:spacing w:lineRule="auto" w:line="288" w:before="126" w:after="180"/>
        <w:jc w:val="center"/>
        <w:rPr>
          <w:rFonts w:ascii="Times New Roman;serif" w:hAnsi="Times New Roman;serif"/>
          <w:b/>
          <w:color w:val="000000"/>
          <w:sz w:val="48"/>
        </w:rPr>
      </w:pPr>
      <w:r>
        <w:rPr>
          <w:rFonts w:ascii="Times New Roman;serif" w:hAnsi="Times New Roman;serif"/>
          <w:b/>
          <w:color w:val="000000"/>
          <w:sz w:val="48"/>
        </w:rPr>
        <w:t>INDIVIOR PHARMACEUTICALS, INC.</w:t>
      </w:r>
    </w:p>
    <w:p>
      <w:pPr>
        <w:pStyle w:val="TextBody"/>
        <w:bidi w:val="0"/>
        <w:spacing w:lineRule="auto" w:line="288" w:before="56"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707" w:type="dxa"/>
        <w:jc w:val="center"/>
        <w:tblInd w:w="0" w:type="dxa"/>
        <w:tblLayout w:type="fixed"/>
        <w:tblCellMar>
          <w:top w:w="28" w:type="dxa"/>
          <w:left w:w="28" w:type="dxa"/>
          <w:bottom w:w="28" w:type="dxa"/>
          <w:right w:w="28" w:type="dxa"/>
        </w:tblCellMar>
      </w:tblPr>
      <w:tblGrid>
        <w:gridCol w:w="1150"/>
        <w:gridCol w:w="1011"/>
        <w:gridCol w:w="1018"/>
        <w:gridCol w:w="662"/>
        <w:gridCol w:w="662"/>
        <w:gridCol w:w="670"/>
        <w:gridCol w:w="740"/>
        <w:gridCol w:w="740"/>
        <w:gridCol w:w="10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001-37835</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41-2520873</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 w:after="283"/>
              <w:ind w:left="0" w:right="0" w:hanging="411"/>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4663" w:type="dxa"/>
        <w:jc w:val="center"/>
        <w:tblInd w:w="0" w:type="dxa"/>
        <w:tblLayout w:type="fixed"/>
        <w:tblCellMar>
          <w:top w:w="28" w:type="dxa"/>
          <w:left w:w="28" w:type="dxa"/>
          <w:bottom w:w="28" w:type="dxa"/>
          <w:right w:w="28" w:type="dxa"/>
        </w:tblCellMar>
      </w:tblPr>
      <w:tblGrid>
        <w:gridCol w:w="1195"/>
        <w:gridCol w:w="1051"/>
        <w:gridCol w:w="1054"/>
        <w:gridCol w:w="109"/>
        <w:gridCol w:w="109"/>
        <w:gridCol w:w="109"/>
        <w:gridCol w:w="303"/>
        <w:gridCol w:w="303"/>
        <w:gridCol w:w="430"/>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10710 Midlothian Turnpike, Suite 125</w:t>
            </w:r>
          </w:p>
          <w:p>
            <w:pPr>
              <w:pStyle w:val="TableContents"/>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North Chesterfield, 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23235</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80"/>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804-379-1090</w:t>
      </w:r>
    </w:p>
    <w:tbl>
      <w:tblPr>
        <w:tblW w:w="5070" w:type="dxa"/>
        <w:jc w:val="center"/>
        <w:tblInd w:w="0" w:type="dxa"/>
        <w:tblLayout w:type="fixed"/>
        <w:tblCellMar>
          <w:top w:w="28" w:type="dxa"/>
          <w:left w:w="28" w:type="dxa"/>
          <w:bottom w:w="28" w:type="dxa"/>
          <w:right w:w="28" w:type="dxa"/>
        </w:tblCellMar>
      </w:tblPr>
      <w:tblGrid>
        <w:gridCol w:w="1623"/>
        <w:gridCol w:w="1425"/>
        <w:gridCol w:w="2022"/>
      </w:tblGrid>
      <w:tr>
        <w:trPr/>
        <w:tc>
          <w:tcPr>
            <w:tcW w:w="162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6"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180"/>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992" w:type="dxa"/>
        <w:jc w:val="left"/>
        <w:tblInd w:w="0" w:type="dxa"/>
        <w:tblLayout w:type="fixed"/>
        <w:tblCellMar>
          <w:top w:w="28" w:type="dxa"/>
          <w:left w:w="28" w:type="dxa"/>
          <w:bottom w:w="28" w:type="dxa"/>
          <w:right w:w="28" w:type="dxa"/>
        </w:tblCellMar>
      </w:tblPr>
      <w:tblGrid>
        <w:gridCol w:w="1291"/>
        <w:gridCol w:w="1132"/>
        <w:gridCol w:w="1147"/>
        <w:gridCol w:w="109"/>
        <w:gridCol w:w="109"/>
        <w:gridCol w:w="109"/>
        <w:gridCol w:w="484"/>
        <w:gridCol w:w="484"/>
        <w:gridCol w:w="486"/>
        <w:gridCol w:w="109"/>
        <w:gridCol w:w="109"/>
        <w:gridCol w:w="109"/>
        <w:gridCol w:w="970"/>
        <w:gridCol w:w="970"/>
        <w:gridCol w:w="1374"/>
      </w:tblGrid>
      <w:tr>
        <w:trPr/>
        <w:tc>
          <w:tcPr>
            <w:tcW w:w="129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304" w:before="53" w:after="30"/>
              <w:jc w:val="left"/>
              <w:rPr>
                <w:rFonts w:ascii="Times New Roman;serif" w:hAnsi="Times New Roman;serif"/>
                <w:b/>
                <w:color w:val="2B2D34"/>
                <w:sz w:val="16"/>
              </w:rPr>
            </w:pPr>
            <w:r>
              <w:rPr>
                <w:rFonts w:ascii="Times New Roman;serif" w:hAnsi="Times New Roman;serif"/>
                <w:b/>
                <w:color w:val="2B2D34"/>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145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2B2D34"/>
                <w:sz w:val="16"/>
              </w:rPr>
            </w:pPr>
            <w:r>
              <w:rPr>
                <w:rFonts w:ascii="Times New Roman;serif" w:hAnsi="Times New Roman;serif"/>
                <w:b/>
                <w:color w:val="2B2D34"/>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304" w:before="53" w:after="30"/>
              <w:jc w:val="left"/>
              <w:rPr>
                <w:rFonts w:ascii="Times New Roman;serif" w:hAnsi="Times New Roman;serif"/>
                <w:b/>
                <w:color w:val="2B2D34"/>
                <w:sz w:val="16"/>
              </w:rPr>
            </w:pPr>
            <w:r>
              <w:rPr>
                <w:rFonts w:ascii="Times New Roman;serif" w:hAnsi="Times New Roman;serif"/>
                <w:b/>
                <w:color w:val="2B2D34"/>
                <w:sz w:val="16"/>
              </w:rPr>
              <w:t>Name of each exchange on which registered</w:t>
            </w:r>
          </w:p>
        </w:tc>
      </w:tr>
      <w:tr>
        <w:trPr/>
        <w:tc>
          <w:tcPr>
            <w:tcW w:w="35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INDV</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w:t>
      </w:r>
    </w:p>
    <w:p>
      <w:pPr>
        <w:pStyle w:val="TextBody"/>
        <w:bidi w:val="0"/>
        <w:spacing w:lineRule="auto" w:line="288" w:before="0" w:after="0"/>
        <w:jc w:val="right"/>
        <w:rPr>
          <w:color w:val="000000"/>
          <w:shd w:fill="FFFFFF" w:val="clear"/>
        </w:rPr>
      </w:pPr>
      <w:r>
        <w:rPr>
          <w:color w:val="000000"/>
          <w:shd w:fill="FFFFFF" w:val="clear"/>
        </w:rPr>
        <w:t>☐</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color w:val="000000"/>
          <w:shd w:fill="FFFFFF" w:val="clear"/>
        </w:rPr>
      </w:pP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68" w:before="0" w:after="0"/>
        <w:jc w:val="left"/>
        <w:rPr/>
      </w:pPr>
      <w:r>
        <w:rPr>
          <w:rFonts w:ascii="Times New Roman;serif" w:hAnsi="Times New Roman;serif"/>
          <w:b/>
          <w:color w:val="000000"/>
          <w:sz w:val="20"/>
        </w:rPr>
        <w:t>Item 1.02 Termination of a Material Definitive Agreement.</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9, 2026, Indivior UK Limited ("Indivior") and Reckitt Benckiser Healthcare (UK) Limited ("RB") entered into a Deed of Variation and Termination relating to that certain Copacker Supply Agreement dated December 23, 2014, as was amended on March 29, 2019 (the "Copacker Supply Agreement"). RB manufactures SUBOXONE® Tablets and SUBUTEX® Tablets for Indivior pursuant to the terms of the Copacker Supply Agreement. Pursuant to the Deed of Variation and Termination, the parties agreed to accelerate the termination date of the Copacker Supply Agreement to January 15, 2027. The Copacker Supply Agreement, as amended by the Deed of Variation and Termination, will remain in effect until the accelerated termination date. Indivior has identified a new supplier. Indivior's obligations under its agreement with its new supplier will become enforceable against it only after validation of the new supplier's manufacturing process, and this agreement is not expected to be material to Indivior Pharmaceuticals, Inc. (the “Registrant”).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Deed of Variation and Termination, (i) RB has agreed to manufacture additional units prior to the new termination date, and (ii) Indivior has agreed to pay certain costs to RB including costs resulting from Indivior ordering lower volumes from RB than contemplated by the Copacker Supply Agreement, certain asset disposal and depreciation recovery costs, certain redundancy costs, certain incentive costs, and potential third party costs. The aggregate amount of such costs are fixed or capped and will not be material to the Registrant.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Deed of Variation and Termination is qualified in its entirety by reference to the full text of the Deed of Variation and Termination which is filed as Exhibit 10.1 to this Current Report on Form 8-K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00"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358"/>
        <w:gridCol w:w="315"/>
        <w:gridCol w:w="316"/>
        <w:gridCol w:w="109"/>
        <w:gridCol w:w="109"/>
        <w:gridCol w:w="109"/>
        <w:gridCol w:w="2591"/>
        <w:gridCol w:w="2591"/>
        <w:gridCol w:w="3707"/>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82"/>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82"/>
              <w:jc w:val="left"/>
              <w:rPr/>
            </w:pPr>
            <w:hyperlink w:anchor="ex101rbdeedofvariationandt.htm">
              <w:r>
                <w:rPr>
                  <w:rStyle w:val="InternetLink"/>
                  <w:rFonts w:ascii="Times New Roman;serif" w:hAnsi="Times New Roman;serif"/>
                  <w:b w:val="false"/>
                  <w:color w:val="000080"/>
                  <w:sz w:val="20"/>
                </w:rPr>
                <w:t>Deed of Variation and Termination</w:t>
              </w:r>
            </w:hyperlink>
            <w:r>
              <w:rPr>
                <w:rFonts w:ascii="Times New Roman;serif" w:hAnsi="Times New Roman;serif"/>
                <w:b w:val="false"/>
                <w:color w:val="000000"/>
                <w:sz w:val="20"/>
              </w:rPr>
              <w:t xml:space="preserve"> effective September 9, 2026 between Indivior UK Limited and Reckitt Benckiser Healthcare (UK) Limited.</w:t>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18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553" w:type="dxa"/>
        <w:jc w:val="left"/>
        <w:tblInd w:w="0" w:type="dxa"/>
        <w:tblLayout w:type="fixed"/>
        <w:tblCellMar>
          <w:top w:w="28" w:type="dxa"/>
          <w:left w:w="28" w:type="dxa"/>
          <w:bottom w:w="28" w:type="dxa"/>
          <w:right w:w="28" w:type="dxa"/>
        </w:tblCellMar>
      </w:tblPr>
      <w:tblGrid>
        <w:gridCol w:w="802"/>
        <w:gridCol w:w="707"/>
        <w:gridCol w:w="711"/>
        <w:gridCol w:w="534"/>
        <w:gridCol w:w="534"/>
        <w:gridCol w:w="536"/>
        <w:gridCol w:w="798"/>
        <w:gridCol w:w="798"/>
        <w:gridCol w:w="113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Indivior Pharmaceuticals,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September 15, 2026</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Preblick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Ryan Preblick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81050"/>
                <wp:effectExtent l="0" t="0" r="0" b="0"/>
                <wp:wrapNone/>
                <wp:docPr id="2" name="Frame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Exhibit 10.1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PORTIONS OF THIS EXHIBIT HAVE BEEN REDACTED. CERTAIN IDENTIFIED INFORMATION HAS BEEN EXCLUDED FROM THIS EXHIBIT BECAUSE IT IS BOTH (i) NOT MATERIAL AND (ii) WOULD BE LIKELY TO CAUSE COMPETITIVE HARM IF PUBLICLY DISCLOSED. REDACTED MATERIAL IS MARKED WITH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790" w:type="dxa"/>
        <w:jc w:val="left"/>
        <w:tblInd w:w="0" w:type="dxa"/>
        <w:tblLayout w:type="fixed"/>
        <w:tblCellMar>
          <w:top w:w="28" w:type="dxa"/>
          <w:left w:w="28" w:type="dxa"/>
          <w:bottom w:w="28" w:type="dxa"/>
          <w:right w:w="28" w:type="dxa"/>
        </w:tblCellMar>
      </w:tblPr>
      <w:tblGrid>
        <w:gridCol w:w="353"/>
        <w:gridCol w:w="310"/>
        <w:gridCol w:w="312"/>
        <w:gridCol w:w="531"/>
        <w:gridCol w:w="531"/>
        <w:gridCol w:w="753"/>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 xml:space="preserve">DATED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19</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2"/>
              </w:rPr>
              <w:t>August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 RECKITT BENCKISER HEALTHCARE (UK) LIMITED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and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 INDIVIOR UK LTD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9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DEED OF VARIATION AND TERMINATION</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relating to the copacker supply agreement dated 23 December 2014, as amended on 29 March 2019.</w:t>
            </w:r>
          </w:p>
        </w:tc>
        <w:tc>
          <w:tcPr>
            <w:tcW w:w="373"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25780"/>
                <wp:effectExtent l="0" t="0" r="0" b="0"/>
                <wp:wrapNone/>
                <wp:docPr id="3" name="Frame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CONTENTS</w:t>
      </w:r>
    </w:p>
    <w:p>
      <w:pPr>
        <w:pStyle w:val="TextBody"/>
        <w:bidi w:val="0"/>
        <w:spacing w:before="0" w:after="0"/>
        <w:jc w:val="left"/>
        <w:rPr/>
      </w:pPr>
      <w:r>
        <w:rPr/>
      </w:r>
    </w:p>
    <w:p>
      <w:pPr>
        <w:pStyle w:val="TextBody"/>
        <w:bidi w:val="0"/>
        <w:spacing w:lineRule="auto" w:line="288" w:before="0" w:after="120"/>
        <w:ind w:left="0" w:right="0" w:hanging="720"/>
        <w:jc w:val="left"/>
        <w:rPr/>
      </w:pPr>
      <w:r>
        <w:rPr>
          <w:rFonts w:ascii="Times New Roman;serif" w:hAnsi="Times New Roman;serif"/>
          <w:b w:val="false"/>
          <w:color w:val="0000FF"/>
          <w:sz w:val="22"/>
          <w:u w:val="single"/>
        </w:rPr>
        <w:t>2.</w:t>
      </w:r>
      <w:r>
        <w:rPr>
          <w:color w:val="000000"/>
        </w:rPr>
        <w:t>    </w:t>
      </w:r>
      <w:r>
        <w:rPr>
          <w:rFonts w:ascii="Times New Roman;serif" w:hAnsi="Times New Roman;serif"/>
          <w:b w:val="false"/>
          <w:color w:val="0000FF"/>
          <w:sz w:val="22"/>
          <w:u w:val="single"/>
        </w:rPr>
        <w:t>AMENDMENTS</w:t>
      </w:r>
      <w:r>
        <w:rPr>
          <w:color w:val="000000"/>
        </w:rPr>
        <w:t>    </w:t>
      </w:r>
      <w:r>
        <w:rPr>
          <w:rFonts w:ascii="Times New Roman;serif" w:hAnsi="Times New Roman;serif"/>
          <w:b w:val="false"/>
          <w:color w:val="000000"/>
          <w:sz w:val="22"/>
        </w:rPr>
        <w:t>1</w:t>
      </w:r>
    </w:p>
    <w:p>
      <w:pPr>
        <w:pStyle w:val="TextBody"/>
        <w:bidi w:val="0"/>
        <w:spacing w:lineRule="auto" w:line="288" w:before="0" w:after="120"/>
        <w:ind w:left="0" w:right="0" w:hanging="720"/>
        <w:jc w:val="left"/>
        <w:rPr/>
      </w:pPr>
      <w:r>
        <w:rPr>
          <w:rFonts w:ascii="Times New Roman;serif" w:hAnsi="Times New Roman;serif"/>
          <w:b w:val="false"/>
          <w:color w:val="0000FF"/>
          <w:sz w:val="22"/>
          <w:u w:val="single"/>
        </w:rPr>
        <w:t>3.</w:t>
      </w:r>
      <w:r>
        <w:rPr>
          <w:color w:val="000000"/>
        </w:rPr>
        <w:t>    </w:t>
      </w:r>
      <w:r>
        <w:rPr>
          <w:rFonts w:ascii="Times New Roman;serif" w:hAnsi="Times New Roman;serif"/>
          <w:b w:val="false"/>
          <w:color w:val="0000FF"/>
          <w:sz w:val="22"/>
          <w:u w:val="single"/>
        </w:rPr>
        <w:t>CONFIRMATION AND TERMINATION</w:t>
      </w:r>
      <w:r>
        <w:rPr>
          <w:color w:val="000000"/>
        </w:rPr>
        <w:t>    </w:t>
      </w:r>
      <w:r>
        <w:rPr>
          <w:rFonts w:ascii="Times New Roman;serif" w:hAnsi="Times New Roman;serif"/>
          <w:b w:val="false"/>
          <w:color w:val="000000"/>
          <w:sz w:val="22"/>
        </w:rPr>
        <w:t>1</w:t>
      </w:r>
    </w:p>
    <w:p>
      <w:pPr>
        <w:pStyle w:val="TextBody"/>
        <w:bidi w:val="0"/>
        <w:spacing w:lineRule="auto" w:line="288" w:before="0" w:after="120"/>
        <w:ind w:left="0" w:right="0" w:hanging="720"/>
        <w:jc w:val="left"/>
        <w:rPr/>
      </w:pPr>
      <w:r>
        <w:rPr>
          <w:rFonts w:ascii="Times New Roman;serif" w:hAnsi="Times New Roman;serif"/>
          <w:b w:val="false"/>
          <w:color w:val="0000FF"/>
          <w:sz w:val="22"/>
          <w:u w:val="single"/>
        </w:rPr>
        <w:t>4.</w:t>
      </w:r>
      <w:r>
        <w:rPr>
          <w:color w:val="000000"/>
        </w:rPr>
        <w:t>    </w:t>
      </w:r>
      <w:r>
        <w:rPr>
          <w:rFonts w:ascii="Times New Roman;serif" w:hAnsi="Times New Roman;serif"/>
          <w:b w:val="false"/>
          <w:color w:val="0000FF"/>
          <w:sz w:val="22"/>
          <w:u w:val="single"/>
        </w:rPr>
        <w:t>CONDITIONS PRECEDENT</w:t>
      </w:r>
      <w:r>
        <w:rPr>
          <w:color w:val="000000"/>
        </w:rPr>
        <w:t>    </w:t>
      </w:r>
      <w:r>
        <w:rPr>
          <w:rFonts w:ascii="Times New Roman;serif" w:hAnsi="Times New Roman;serif"/>
          <w:b w:val="false"/>
          <w:color w:val="000000"/>
          <w:sz w:val="22"/>
        </w:rPr>
        <w:t>2</w:t>
      </w:r>
    </w:p>
    <w:p>
      <w:pPr>
        <w:pStyle w:val="TextBody"/>
        <w:bidi w:val="0"/>
        <w:spacing w:lineRule="auto" w:line="288" w:before="0" w:after="120"/>
        <w:ind w:left="0" w:right="0" w:hanging="720"/>
        <w:jc w:val="left"/>
        <w:rPr/>
      </w:pPr>
      <w:r>
        <w:rPr>
          <w:rFonts w:ascii="Times New Roman;serif" w:hAnsi="Times New Roman;serif"/>
          <w:b w:val="false"/>
          <w:color w:val="0000FF"/>
          <w:sz w:val="22"/>
          <w:u w:val="single"/>
        </w:rPr>
        <w:t>5.</w:t>
      </w:r>
      <w:r>
        <w:rPr>
          <w:color w:val="000000"/>
        </w:rPr>
        <w:t>    </w:t>
      </w:r>
      <w:r>
        <w:rPr>
          <w:rFonts w:ascii="Times New Roman;serif" w:hAnsi="Times New Roman;serif"/>
          <w:b w:val="false"/>
          <w:color w:val="0000FF"/>
          <w:sz w:val="22"/>
          <w:u w:val="single"/>
        </w:rPr>
        <w:t>ADDITIONAL VOLUME</w:t>
      </w:r>
      <w:r>
        <w:rPr>
          <w:color w:val="000000"/>
        </w:rPr>
        <w:t>    </w:t>
      </w:r>
      <w:r>
        <w:rPr>
          <w:rFonts w:ascii="Times New Roman;serif" w:hAnsi="Times New Roman;serif"/>
          <w:b w:val="false"/>
          <w:color w:val="000000"/>
          <w:sz w:val="22"/>
        </w:rPr>
        <w:t>2</w:t>
      </w:r>
    </w:p>
    <w:p>
      <w:pPr>
        <w:pStyle w:val="TextBody"/>
        <w:bidi w:val="0"/>
        <w:spacing w:lineRule="auto" w:line="288" w:before="0" w:after="120"/>
        <w:ind w:left="0" w:right="0" w:hanging="720"/>
        <w:jc w:val="left"/>
        <w:rPr/>
      </w:pPr>
      <w:r>
        <w:rPr>
          <w:rFonts w:ascii="Times New Roman;serif" w:hAnsi="Times New Roman;serif"/>
          <w:b w:val="false"/>
          <w:color w:val="0000FF"/>
          <w:sz w:val="22"/>
          <w:u w:val="single"/>
        </w:rPr>
        <w:t>6.</w:t>
      </w:r>
      <w:r>
        <w:rPr>
          <w:color w:val="000000"/>
        </w:rPr>
        <w:t>    </w:t>
      </w:r>
      <w:r>
        <w:rPr>
          <w:rFonts w:ascii="Times New Roman;serif" w:hAnsi="Times New Roman;serif"/>
          <w:b w:val="false"/>
          <w:color w:val="0000FF"/>
          <w:sz w:val="22"/>
          <w:u w:val="single"/>
        </w:rPr>
        <w:t>RELEASE AND WAIVER</w:t>
      </w:r>
      <w:r>
        <w:rPr>
          <w:color w:val="000000"/>
        </w:rPr>
        <w:t>    </w:t>
      </w:r>
      <w:r>
        <w:rPr>
          <w:rFonts w:ascii="Times New Roman;serif" w:hAnsi="Times New Roman;serif"/>
          <w:b w:val="false"/>
          <w:color w:val="000000"/>
          <w:sz w:val="22"/>
        </w:rPr>
        <w:t>2</w:t>
      </w:r>
    </w:p>
    <w:p>
      <w:pPr>
        <w:pStyle w:val="TextBody"/>
        <w:bidi w:val="0"/>
        <w:spacing w:lineRule="auto" w:line="288" w:before="0" w:after="120"/>
        <w:ind w:left="0" w:right="0" w:hanging="720"/>
        <w:jc w:val="left"/>
        <w:rPr/>
      </w:pPr>
      <w:hyperlink w:anchor="i2690192b72994b70a807626c16cb1219_10">
        <w:r>
          <w:rPr>
            <w:rStyle w:val="InternetLink"/>
            <w:rFonts w:ascii="Times New Roman;serif" w:hAnsi="Times New Roman;serif"/>
            <w:b w:val="false"/>
            <w:color w:val="0000FF"/>
            <w:sz w:val="22"/>
            <w:u w:val="single"/>
          </w:rPr>
          <w:t>7.</w:t>
        </w:r>
      </w:hyperlink>
      <w:hyperlink w:anchor="i2690192b72994b70a807626c16cb1219_10">
        <w:r>
          <w:rPr>
            <w:rStyle w:val="InternetLink"/>
            <w:strike w:val="false"/>
            <w:dstrike w:val="false"/>
            <w:color w:val="000000"/>
            <w:u w:val="none"/>
            <w:effect w:val="none"/>
          </w:rPr>
          <w:t>    </w:t>
        </w:r>
      </w:hyperlink>
      <w:hyperlink w:anchor="i2690192b72994b70a807626c16cb1219_10">
        <w:r>
          <w:rPr>
            <w:rStyle w:val="InternetLink"/>
          </w:rPr>
          <w:t>CONFIDENTIALITY</w:t>
        </w:r>
      </w:hyperlink>
      <w:hyperlink w:anchor="i2690192b72994b70a807626c16cb1219_10">
        <w:r>
          <w:rPr>
            <w:rStyle w:val="InternetLink"/>
          </w:rPr>
          <w:t>    </w:t>
        </w:r>
      </w:hyperlink>
      <w:hyperlink w:anchor="i2690192b72994b70a807626c16cb1219_10">
        <w:r>
          <w:rPr>
            <w:rStyle w:val="InternetLink"/>
          </w:rPr>
          <w:t>3</w:t>
        </w:r>
      </w:hyperlink>
    </w:p>
    <w:p>
      <w:pPr>
        <w:pStyle w:val="TextBody"/>
        <w:bidi w:val="0"/>
        <w:spacing w:lineRule="auto" w:line="288" w:before="0" w:after="120"/>
        <w:ind w:left="0" w:right="0" w:hanging="720"/>
        <w:jc w:val="left"/>
        <w:rPr/>
      </w:pPr>
      <w:hyperlink w:anchor="i2690192b72994b70a807626c16cb1219_10">
        <w:r>
          <w:rPr>
            <w:rStyle w:val="InternetLink"/>
            <w:rFonts w:ascii="Times New Roman;serif" w:hAnsi="Times New Roman;serif"/>
            <w:b w:val="false"/>
            <w:color w:val="0000FF"/>
            <w:sz w:val="22"/>
            <w:u w:val="single"/>
          </w:rPr>
          <w:t>8.</w:t>
        </w:r>
      </w:hyperlink>
      <w:hyperlink w:anchor="i2690192b72994b70a807626c16cb1219_10">
        <w:r>
          <w:rPr>
            <w:rStyle w:val="InternetLink"/>
            <w:strike w:val="false"/>
            <w:dstrike w:val="false"/>
            <w:color w:val="000000"/>
            <w:u w:val="none"/>
            <w:effect w:val="none"/>
          </w:rPr>
          <w:t>    </w:t>
        </w:r>
      </w:hyperlink>
      <w:hyperlink w:anchor="i2690192b72994b70a807626c16cb1219_10">
        <w:r>
          <w:rPr>
            <w:rStyle w:val="InternetLink"/>
            <w:rFonts w:ascii="Times New Roman;serif" w:hAnsi="Times New Roman;serif"/>
            <w:b w:val="false"/>
            <w:color w:val="0000FF"/>
            <w:sz w:val="22"/>
            <w:u w:val="single"/>
          </w:rPr>
          <w:t>MISCELLANEOUS PROVISIONS</w:t>
        </w:r>
      </w:hyperlink>
      <w:hyperlink w:anchor="i2690192b72994b70a807626c16cb1219_10">
        <w:r>
          <w:rPr>
            <w:rStyle w:val="InternetLink"/>
            <w:strike w:val="false"/>
            <w:dstrike w:val="false"/>
            <w:color w:val="000000"/>
            <w:u w:val="none"/>
            <w:effect w:val="none"/>
          </w:rPr>
          <w:t>    </w:t>
        </w:r>
      </w:hyperlink>
      <w:hyperlink w:anchor="i2690192b72994b70a807626c16cb1219_10">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color w:val="000000"/>
          <w:sz w:val="22"/>
        </w:rPr>
        <w:t>THIS DEED</w:t>
      </w:r>
      <w:r>
        <w:rPr>
          <w:color w:val="000000"/>
        </w:rPr>
        <w:t xml:space="preserve"> </w:t>
      </w:r>
      <w:r>
        <w:rPr>
          <w:rFonts w:ascii="Times New Roman;serif" w:hAnsi="Times New Roman;serif"/>
          <w:b w:val="false"/>
          <w:color w:val="000000"/>
          <w:sz w:val="22"/>
        </w:rPr>
        <w:t>is made on 19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August 2026</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BETWEEN</w:t>
      </w:r>
    </w:p>
    <w:p>
      <w:pPr>
        <w:pStyle w:val="TextBody"/>
        <w:bidi w:val="0"/>
        <w:spacing w:lineRule="auto" w:line="288" w:before="0" w:after="240"/>
        <w:ind w:left="0" w:right="0" w:hanging="720"/>
        <w:jc w:val="both"/>
        <w:rPr/>
      </w:pPr>
      <w:r>
        <w:rPr>
          <w:rFonts w:ascii="Times New Roman;serif" w:hAnsi="Times New Roman;serif"/>
          <w:b/>
          <w:color w:val="000000"/>
          <w:sz w:val="22"/>
        </w:rPr>
        <w:t>(1)    RECKITT BENCKISER HEALTHCARE (UK) LIMITED</w:t>
      </w:r>
      <w:r>
        <w:rPr>
          <w:rFonts w:ascii="Times New Roman;serif" w:hAnsi="Times New Roman;serif"/>
          <w:b w:val="false"/>
          <w:color w:val="000000"/>
          <w:sz w:val="22"/>
        </w:rPr>
        <w:t>, a company incorporated and registered in England and Wales with number 00261312 which has its registered office at 103-105 Bath Road, Slough, Berkshire SL1 3UH (</w:t>
      </w:r>
      <w:r>
        <w:rPr>
          <w:rFonts w:ascii="Times New Roman;serif" w:hAnsi="Times New Roman;serif"/>
          <w:b/>
          <w:color w:val="000000"/>
          <w:sz w:val="22"/>
        </w:rPr>
        <w:t>"Supplier"</w:t>
      </w:r>
      <w:r>
        <w:rPr>
          <w:rFonts w:ascii="Times New Roman;serif" w:hAnsi="Times New Roman;serif"/>
          <w:b w:val="false"/>
          <w:color w:val="000000"/>
          <w:sz w:val="22"/>
        </w:rPr>
        <w:t>); and</w:t>
      </w:r>
    </w:p>
    <w:p>
      <w:pPr>
        <w:pStyle w:val="TextBody"/>
        <w:bidi w:val="0"/>
        <w:spacing w:lineRule="auto" w:line="288" w:before="0" w:after="240"/>
        <w:ind w:left="0" w:right="0" w:hanging="720"/>
        <w:jc w:val="both"/>
        <w:rPr/>
      </w:pPr>
      <w:r>
        <w:rPr>
          <w:rFonts w:ascii="Times New Roman;serif" w:hAnsi="Times New Roman;serif"/>
          <w:b/>
          <w:color w:val="000000"/>
          <w:sz w:val="22"/>
        </w:rPr>
        <w:t>(2)    INDIVIOR UK LIMITED</w:t>
      </w:r>
      <w:r>
        <w:rPr>
          <w:rFonts w:ascii="Times New Roman;serif" w:hAnsi="Times New Roman;serif"/>
          <w:b w:val="false"/>
          <w:color w:val="000000"/>
          <w:sz w:val="22"/>
        </w:rPr>
        <w:t>, a company incorporated and registered in England and Wales with number 07183451 which has its registered office at The Chapleo Building Henry Boot Way, Priory Park, Hull, HU4 7DY (</w:t>
      </w:r>
      <w:r>
        <w:rPr>
          <w:rFonts w:ascii="Times New Roman;serif" w:hAnsi="Times New Roman;serif"/>
          <w:b/>
          <w:color w:val="000000"/>
          <w:sz w:val="22"/>
        </w:rPr>
        <w:t>"Buyer"</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The Supplier and Buyer also shall individually be known as </w:t>
      </w:r>
      <w:r>
        <w:rPr>
          <w:color w:val="000000"/>
        </w:rPr>
        <w:t>“</w:t>
      </w: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 xml:space="preserve">and together as the </w:t>
      </w:r>
      <w:r>
        <w:rPr>
          <w:color w:val="000000"/>
        </w:rPr>
        <w:t>“</w:t>
      </w:r>
      <w:r>
        <w:rPr>
          <w:rFonts w:ascii="Times New Roman;serif" w:hAnsi="Times New Roman;serif"/>
          <w:b/>
          <w:color w:val="000000"/>
          <w:sz w:val="22"/>
        </w:rPr>
        <w:t>Parties”</w:t>
      </w:r>
      <w:r>
        <w:rPr>
          <w:rFonts w:ascii="Times New Roman;serif" w:hAnsi="Times New Roman;serif"/>
          <w:b w:val="false"/>
          <w:color w:val="000000"/>
          <w:sz w:val="22"/>
        </w:rPr>
        <w:t xml:space="preserve">.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BACKGROUND</w:t>
      </w:r>
    </w:p>
    <w:p>
      <w:pPr>
        <w:pStyle w:val="TextBody"/>
        <w:bidi w:val="0"/>
        <w:spacing w:lineRule="auto" w:line="288" w:before="0" w:after="240"/>
        <w:ind w:left="0" w:right="0" w:hanging="720"/>
        <w:jc w:val="both"/>
        <w:rPr/>
      </w:pPr>
      <w:r>
        <w:rPr>
          <w:rFonts w:ascii="Times New Roman;serif" w:hAnsi="Times New Roman;serif"/>
          <w:b w:val="false"/>
          <w:color w:val="000000"/>
          <w:sz w:val="22"/>
        </w:rPr>
        <w:t>A    The Parties entered into an agreement dated 23 December 2014, and amended on 29 March 2019, for the manufacture and supply of pharmaceutical products (</w:t>
      </w:r>
      <w:r>
        <w:rPr>
          <w:rFonts w:ascii="Times New Roman;serif" w:hAnsi="Times New Roman;serif"/>
          <w:b/>
          <w:color w:val="000000"/>
          <w:sz w:val="22"/>
        </w:rPr>
        <w:t>"Original Agreement"</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Notice was served by the Buyer to the Supplier in a letter dated to terminate the Original Agreement with effect from 31 December 2027.</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C.After a review of its business strategy, the Buyer no longer wishes the Supplier to manufacture and supply the products prescribed by the Original Agreement with effect from the Termination Date.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D.The Parties wish to set out in this Agreement the terms and conditions that would apply in respect of the Buyer’s wish for an earlier termination to the Original Agreement </w:t>
      </w:r>
    </w:p>
    <w:p>
      <w:pPr>
        <w:pStyle w:val="TextBody"/>
        <w:bidi w:val="0"/>
        <w:spacing w:before="0" w:after="240"/>
        <w:ind w:left="0" w:right="0" w:hanging="720"/>
        <w:jc w:val="both"/>
        <w:rPr/>
      </w:pPr>
      <w:r>
        <w:rPr/>
      </w:r>
    </w:p>
    <w:p>
      <w:pPr>
        <w:pStyle w:val="TextBody"/>
        <w:bidi w:val="0"/>
        <w:spacing w:lineRule="auto" w:line="288" w:before="0" w:after="240"/>
        <w:jc w:val="both"/>
        <w:rPr/>
      </w:pPr>
      <w:r>
        <w:rPr>
          <w:rFonts w:ascii="Times New Roman;serif" w:hAnsi="Times New Roman;serif"/>
          <w:b/>
          <w:color w:val="000000"/>
          <w:sz w:val="22"/>
        </w:rPr>
        <w:t>IT IS AGREED</w:t>
      </w:r>
      <w:r>
        <w:rPr>
          <w:color w:val="000000"/>
        </w:rPr>
        <w:t xml:space="preserve"> </w:t>
      </w:r>
      <w:r>
        <w:rPr>
          <w:rFonts w:ascii="Times New Roman;serif" w:hAnsi="Times New Roman;serif"/>
          <w:b w:val="false"/>
          <w:color w:val="000000"/>
          <w:sz w:val="22"/>
        </w:rPr>
        <w:t>as follows:</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1.DEFINITIONS AND INTERPRETATION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1.1Words and expressions defined in the Original Agreement shall apply to this deed unless the context clearly dictates otherwise. </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1.2This deed incorporates the schedule to it.</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2.AMENDMENTS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2.1The Parties agree to amend the Original Agreement as follows: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2.2Definitions</w:t>
      </w:r>
    </w:p>
    <w:p>
      <w:pPr>
        <w:pStyle w:val="TextBody"/>
        <w:bidi w:val="0"/>
        <w:spacing w:lineRule="auto" w:line="288" w:before="0" w:after="240"/>
        <w:jc w:val="both"/>
        <w:rPr/>
      </w:pPr>
      <w:r>
        <w:rPr>
          <w:rFonts w:ascii="Times New Roman;serif" w:hAnsi="Times New Roman;serif"/>
          <w:b w:val="false"/>
          <w:color w:val="000000"/>
          <w:sz w:val="22"/>
        </w:rPr>
        <w:t>2.3</w:t>
      </w:r>
      <w:r>
        <w:rPr>
          <w:rFonts w:ascii="Times New Roman;serif" w:hAnsi="Times New Roman;serif"/>
          <w:b/>
          <w:color w:val="000000"/>
          <w:sz w:val="22"/>
        </w:rPr>
        <w:t xml:space="preserve">Actual Volume: </w:t>
      </w:r>
      <w:r>
        <w:rPr>
          <w:rFonts w:ascii="Times New Roman;serif" w:hAnsi="Times New Roman;serif"/>
          <w:b w:val="false"/>
          <w:color w:val="000000"/>
          <w:sz w:val="22"/>
        </w:rPr>
        <w:t>means the total volume of consumer units of the Product manufactured, QA released and delivered by the Supplier to the Buyer on or before the Termination Date, in respect of purchase orders placed by the Buyer in the period commencing on 1 January 2026 and expiring on the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7665"/>
                <wp:effectExtent l="0" t="0" r="0" b="0"/>
                <wp:wrapNone/>
                <wp:docPr id="5" name="Frame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2.4</w:t>
      </w:r>
      <w:r>
        <w:rPr>
          <w:rFonts w:ascii="Times New Roman;serif" w:hAnsi="Times New Roman;serif"/>
          <w:b/>
          <w:color w:val="000000"/>
          <w:sz w:val="22"/>
        </w:rPr>
        <w:t>Additional Volume</w:t>
      </w:r>
      <w:r>
        <w:rPr>
          <w:rFonts w:ascii="Times New Roman;serif" w:hAnsi="Times New Roman;serif"/>
          <w:b w:val="false"/>
          <w:color w:val="000000"/>
          <w:sz w:val="22"/>
        </w:rPr>
        <w:t xml:space="preserve">: the incremental volume of up to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consumer units of the Products that the Buyer has requested the Supplier to manufacture and supply to it by the Termination Date:</w:t>
      </w:r>
    </w:p>
    <w:p>
      <w:pPr>
        <w:pStyle w:val="TextBody"/>
        <w:bidi w:val="0"/>
        <w:spacing w:lineRule="auto" w:line="288" w:before="0" w:after="240"/>
        <w:jc w:val="both"/>
        <w:rPr/>
      </w:pPr>
      <w:r>
        <w:rPr>
          <w:rFonts w:ascii="Times New Roman;serif" w:hAnsi="Times New Roman;serif"/>
          <w:b w:val="false"/>
          <w:color w:val="000000"/>
          <w:sz w:val="22"/>
        </w:rPr>
        <w:t>2.5</w:t>
      </w:r>
      <w:r>
        <w:rPr>
          <w:rFonts w:ascii="Times New Roman;serif" w:hAnsi="Times New Roman;serif"/>
          <w:b/>
          <w:color w:val="000000"/>
          <w:sz w:val="22"/>
        </w:rPr>
        <w:t>Minimum Volume</w:t>
      </w:r>
      <w:r>
        <w:rPr>
          <w:rFonts w:ascii="Times New Roman;serif" w:hAnsi="Times New Roman;serif"/>
          <w:b w:val="false"/>
          <w:color w:val="000000"/>
          <w:sz w:val="22"/>
        </w:rPr>
        <w:t xml:space="preserve">: means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consumer units of the Product</w:t>
      </w:r>
    </w:p>
    <w:p>
      <w:pPr>
        <w:pStyle w:val="TextBody"/>
        <w:bidi w:val="0"/>
        <w:spacing w:lineRule="auto" w:line="288" w:before="0" w:after="240"/>
        <w:jc w:val="both"/>
        <w:rPr/>
      </w:pPr>
      <w:r>
        <w:rPr>
          <w:rFonts w:ascii="Times New Roman;serif" w:hAnsi="Times New Roman;serif"/>
          <w:b w:val="false"/>
          <w:color w:val="000000"/>
          <w:sz w:val="22"/>
        </w:rPr>
        <w:t>2.6</w:t>
      </w:r>
      <w:r>
        <w:rPr>
          <w:rFonts w:ascii="Times New Roman;serif" w:hAnsi="Times New Roman;serif"/>
          <w:b/>
          <w:color w:val="000000"/>
          <w:sz w:val="22"/>
        </w:rPr>
        <w:t>Termination Date:</w:t>
      </w:r>
      <w:r>
        <w:rPr>
          <w:color w:val="000000"/>
        </w:rPr>
        <w:t xml:space="preserve"> </w:t>
      </w:r>
      <w:r>
        <w:rPr>
          <w:rFonts w:ascii="Times New Roman;serif" w:hAnsi="Times New Roman;serif"/>
          <w:b w:val="false"/>
          <w:color w:val="000000"/>
          <w:sz w:val="22"/>
        </w:rPr>
        <w:t xml:space="preserve">means 15 January 2027 </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3.CONFIRMATION AND TERMINATION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3.1Subject to clause 2.2, the Parties agree and declare that 4,:</w:t>
      </w:r>
    </w:p>
    <w:p>
      <w:pPr>
        <w:pStyle w:val="TextBody"/>
        <w:bidi w:val="0"/>
        <w:spacing w:lineRule="auto" w:line="240" w:before="0" w:after="24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 xml:space="preserve">3.1.1the Original Agreement shall continue in full force and effect as supplemented, amended, deleted or varied by this deed until the Termination Date; </w:t>
      </w:r>
    </w:p>
    <w:p>
      <w:pPr>
        <w:pStyle w:val="TextBody"/>
        <w:bidi w:val="0"/>
        <w:spacing w:lineRule="auto" w:line="240" w:before="0" w:after="24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3.1.2in the event of a conflict between the terms of this deed and the Original Agreement, the terms of this deed shall govern; and</w:t>
      </w:r>
    </w:p>
    <w:p>
      <w:pPr>
        <w:pStyle w:val="TextBody"/>
        <w:bidi w:val="0"/>
        <w:spacing w:lineRule="auto" w:line="240" w:before="0" w:after="24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3.1.3the Original Agreement (as supplemented, amended, deleted or varied by this deed) is terminated with effect from the Termination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3.1.4This clause 3.1 of this Agreement shall not take effect unless and until all of the conditions precedent set out in clause 4 below have been fulfilled in their entirety by the Buyer. </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4.CONDITIONS PRECEDENT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4.1The Buyer shall pay the Supplier the following amounts:</w:t>
      </w:r>
    </w:p>
    <w:p>
      <w:pPr>
        <w:pStyle w:val="TextBody"/>
        <w:bidi w:val="0"/>
        <w:spacing w:lineRule="auto" w:line="240" w:before="0" w:after="240"/>
        <w:ind w:left="0" w:right="0" w:hanging="1080"/>
        <w:jc w:val="both"/>
        <w:rPr/>
      </w:pPr>
      <w:r>
        <w:rPr>
          <w:rFonts w:ascii="Times New Roman;serif" w:hAnsi="Times New Roman;serif"/>
          <w:b w:val="false"/>
          <w:color w:val="000000"/>
          <w:sz w:val="22"/>
        </w:rPr>
        <w:t>4.1.1the costs to the Supplier for the impact of the under absorption resulting from producing lesser volumes of the Product as compared to the terms of the Original Agreement, (the “</w:t>
      </w:r>
      <w:r>
        <w:rPr>
          <w:rFonts w:ascii="Times New Roman;serif" w:hAnsi="Times New Roman;serif"/>
          <w:b/>
          <w:color w:val="000000"/>
          <w:sz w:val="22"/>
        </w:rPr>
        <w:t>Under Absorption Impact Cost</w:t>
      </w:r>
      <w:r>
        <w:rPr>
          <w:color w:val="000000"/>
        </w:rPr>
        <w:t>”</w:t>
      </w:r>
      <w:r>
        <w:rPr>
          <w:rFonts w:ascii="Times New Roman;serif" w:hAnsi="Times New Roman;serif"/>
          <w:b w:val="false"/>
          <w:color w:val="000000"/>
          <w:sz w:val="22"/>
        </w:rPr>
        <w:t xml:space="preserve">) such amount to be calculated as follows: (Minimum Volume minus Actual Volume) multiplied by </w:t>
      </w:r>
      <w:r>
        <w:rPr>
          <w:rFonts w:ascii="Times New Roman;serif" w:hAnsi="Times New Roman;serif"/>
          <w:b/>
          <w:color w:val="000000"/>
          <w:sz w:val="22"/>
        </w:rPr>
        <w:t>[***]</w:t>
      </w:r>
      <w:r>
        <w:rPr>
          <w:rFonts w:ascii="Times New Roman;serif" w:hAnsi="Times New Roman;serif"/>
          <w:b w:val="false"/>
          <w:color w:val="000000"/>
          <w:sz w:val="22"/>
        </w:rPr>
        <w:t xml:space="preserve">, it being acknowledged that the Actual Volume is measured as at the Termination Date and accordingly only Product manufactured, QA released and delivered on or before the Termination Date shall count towards the Actual Volume. By way of worked example only: Minimum Volume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minus Actual Volume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 shortfall of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consumer units; </w:t>
      </w:r>
      <w:r>
        <w:rPr>
          <w:rFonts w:ascii="Times New Roman;serif" w:hAnsi="Times New Roman;serif"/>
          <w:b/>
          <w:color w:val="000000"/>
          <w:sz w:val="22"/>
        </w:rPr>
        <w:t>[***]</w:t>
      </w:r>
      <w:r>
        <w:rPr>
          <w:rFonts w:ascii="Times New Roman;serif" w:hAnsi="Times New Roman;serif"/>
          <w:b w:val="false"/>
          <w:color w:val="000000"/>
          <w:sz w:val="22"/>
        </w:rPr>
        <w:t>;</w:t>
      </w:r>
    </w:p>
    <w:p>
      <w:pPr>
        <w:pStyle w:val="TextBody"/>
        <w:bidi w:val="0"/>
        <w:spacing w:lineRule="auto" w:line="240" w:before="0" w:after="240"/>
        <w:ind w:left="0" w:right="0" w:hanging="1080"/>
        <w:jc w:val="both"/>
        <w:rPr/>
      </w:pPr>
      <w:r>
        <w:rPr>
          <w:rFonts w:ascii="Times New Roman;serif" w:hAnsi="Times New Roman;serif"/>
          <w:b w:val="false"/>
          <w:color w:val="000000"/>
          <w:sz w:val="22"/>
        </w:rPr>
        <w:t>4.1.2</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respect of the residual depreciation costs that remain outstanding as at the Termination Date, (”</w:t>
      </w:r>
      <w:r>
        <w:rPr>
          <w:rFonts w:ascii="Times New Roman;serif" w:hAnsi="Times New Roman;serif"/>
          <w:b/>
          <w:color w:val="000000"/>
          <w:sz w:val="22"/>
        </w:rPr>
        <w:t>Recovery of Asset Investment Cost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1080"/>
        <w:jc w:val="both"/>
        <w:rPr/>
      </w:pPr>
      <w:r>
        <w:rPr>
          <w:rFonts w:ascii="Times New Roman;serif" w:hAnsi="Times New Roman;serif"/>
          <w:b w:val="false"/>
          <w:color w:val="000000"/>
          <w:sz w:val="22"/>
        </w:rPr>
        <w:t>4.1.3</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in respect of costs for equipment removal and making good of the area of manufacture (the </w:t>
      </w:r>
      <w:r>
        <w:rPr>
          <w:color w:val="000000"/>
        </w:rPr>
        <w:t>“</w:t>
      </w:r>
      <w:r>
        <w:rPr>
          <w:rFonts w:ascii="Times New Roman;serif" w:hAnsi="Times New Roman;serif"/>
          <w:b/>
          <w:color w:val="000000"/>
          <w:sz w:val="22"/>
        </w:rPr>
        <w:t>Asset Disposal Cost”</w:t>
      </w:r>
      <w:r>
        <w:rPr>
          <w:rFonts w:ascii="Times New Roman;serif" w:hAnsi="Times New Roman;serif"/>
          <w:b w:val="false"/>
          <w:color w:val="000000"/>
          <w:sz w:val="22"/>
        </w:rPr>
        <w:t xml:space="preserve">),in consideration of which the Supplier shall remove its equipment and make good the area of manufacture to a reasonable condition; </w:t>
      </w:r>
    </w:p>
    <w:p>
      <w:pPr>
        <w:pStyle w:val="TextBody"/>
        <w:bidi w:val="0"/>
        <w:spacing w:lineRule="auto" w:line="240" w:before="0" w:after="240"/>
        <w:ind w:left="0" w:right="0" w:hanging="1080"/>
        <w:jc w:val="both"/>
        <w:rPr/>
      </w:pPr>
      <w:r>
        <w:rPr>
          <w:rFonts w:ascii="Times New Roman;serif" w:hAnsi="Times New Roman;serif"/>
          <w:b w:val="false"/>
          <w:color w:val="000000"/>
          <w:sz w:val="22"/>
        </w:rPr>
        <w:t>4.1.4</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in respect of redundancy costs, (the </w:t>
      </w:r>
      <w:r>
        <w:rPr>
          <w:color w:val="000000"/>
        </w:rPr>
        <w:t>“</w:t>
      </w:r>
      <w:r>
        <w:rPr>
          <w:rFonts w:ascii="Times New Roman;serif" w:hAnsi="Times New Roman;serif"/>
          <w:b/>
          <w:color w:val="000000"/>
          <w:sz w:val="22"/>
        </w:rPr>
        <w:t>Redundancy Cost”</w:t>
      </w:r>
      <w:r>
        <w:rPr>
          <w:rFonts w:ascii="Times New Roman;serif" w:hAnsi="Times New Roman;serif"/>
          <w:b w:val="false"/>
          <w:color w:val="000000"/>
          <w:sz w:val="22"/>
        </w:rPr>
        <w:t>); except that to the extent any of the Supplier’s employees to whom TUPE applies transfers his/her employment to the Supplier or its new third party supplier of the Products as a direct result of TUPE (“</w:t>
      </w:r>
      <w:r>
        <w:rPr>
          <w:rFonts w:ascii="Times New Roman;serif" w:hAnsi="Times New Roman;serif"/>
          <w:b/>
          <w:color w:val="000000"/>
          <w:sz w:val="22"/>
        </w:rPr>
        <w:t>TUPE Transferring Employee”),</w:t>
      </w:r>
      <w:r>
        <w:rPr>
          <w:color w:val="000000"/>
        </w:rPr>
        <w:t xml:space="preserve"> </w:t>
      </w:r>
      <w:r>
        <w:rPr>
          <w:rFonts w:ascii="Times New Roman;serif" w:hAnsi="Times New Roman;serif"/>
          <w:b w:val="false"/>
          <w:color w:val="000000"/>
          <w:sz w:val="22"/>
        </w:rPr>
        <w:t>the Supplier shall reimburse to the Buyer the redundancy cost that was allocated to any such TUPE Transferring Employee within 30 days of completion of the TUPE employment transfer but only to the extent the Buyer has not utilised all the Redundancy Cost in which case such reimbursement obligation shall be limited to a maximum of the balance of the Redundancy Cost;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080"/>
        <w:jc w:val="both"/>
        <w:rPr/>
      </w:pPr>
      <w:r>
        <w:rPr>
          <w:rFonts w:ascii="Times New Roman;serif" w:hAnsi="Times New Roman;serif"/>
          <w:b w:val="false"/>
          <w:color w:val="000000"/>
          <w:sz w:val="22"/>
        </w:rPr>
        <w:t>4.1.5</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respect of incentive costs for the Supplier’s employees to endeavour to meet the manufacture of the Additional Volume by the Termination Date (the “</w:t>
      </w:r>
      <w:r>
        <w:rPr>
          <w:rFonts w:ascii="Times New Roman;serif" w:hAnsi="Times New Roman;serif"/>
          <w:b/>
          <w:color w:val="000000"/>
          <w:sz w:val="22"/>
        </w:rPr>
        <w:t>Incentive Cost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hanging="1080"/>
        <w:jc w:val="both"/>
        <w:rPr/>
      </w:pPr>
      <w:r>
        <w:rPr>
          <w:rFonts w:ascii="Times New Roman;serif" w:hAnsi="Times New Roman;serif"/>
          <w:b w:val="false"/>
          <w:color w:val="000000"/>
          <w:sz w:val="22"/>
        </w:rPr>
        <w:t xml:space="preserve">4.1.6An additional </w:t>
      </w:r>
      <w:r>
        <w:rPr>
          <w:rFonts w:ascii="Times New Roman;serif" w:hAnsi="Times New Roman;serif"/>
          <w:b/>
          <w:color w:val="000000"/>
          <w:sz w:val="22"/>
        </w:rPr>
        <w:t xml:space="preserve">[***] </w:t>
      </w:r>
      <w:r>
        <w:rPr>
          <w:rFonts w:ascii="Times New Roman;serif" w:hAnsi="Times New Roman;serif"/>
          <w:b w:val="false"/>
          <w:color w:val="000000"/>
          <w:sz w:val="22"/>
        </w:rPr>
        <w:t>in respect of incentive costs that would be payable in the event the Supplier manufactures and releases the Additional Volume by no later than 18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December 2026 (the “ </w:t>
      </w:r>
      <w:r>
        <w:rPr>
          <w:rFonts w:ascii="Times New Roman;serif" w:hAnsi="Times New Roman;serif"/>
          <w:b/>
          <w:color w:val="000000"/>
          <w:sz w:val="22"/>
        </w:rPr>
        <w:t>Additional</w:t>
      </w:r>
      <w:r>
        <w:rPr>
          <w:color w:val="000000"/>
        </w:rPr>
        <w:t xml:space="preserve"> </w:t>
      </w:r>
      <w:r>
        <w:rPr>
          <w:rFonts w:ascii="Times New Roman;serif" w:hAnsi="Times New Roman;serif"/>
          <w:b/>
          <w:color w:val="000000"/>
          <w:sz w:val="22"/>
        </w:rPr>
        <w:t>Incentive Cost</w:t>
      </w:r>
      <w:r>
        <w:rPr>
          <w:color w:val="000000"/>
        </w:rPr>
        <w:t>”</w:t>
      </w:r>
      <w:r>
        <w:rPr>
          <w:rFonts w:ascii="Times New Roman;serif" w:hAnsi="Times New Roman;serif"/>
          <w:b w:val="false"/>
          <w:color w:val="000000"/>
          <w:sz w:val="22"/>
        </w:rPr>
        <w:t>); and</w:t>
      </w:r>
    </w:p>
    <w:p>
      <w:pPr>
        <w:pStyle w:val="TextBody"/>
        <w:bidi w:val="0"/>
        <w:spacing w:lineRule="auto" w:line="240" w:before="0" w:after="240"/>
        <w:ind w:left="0" w:right="0" w:hanging="1080"/>
        <w:jc w:val="both"/>
        <w:rPr/>
      </w:pPr>
      <w:r>
        <w:rPr>
          <w:rFonts w:ascii="Times New Roman;serif" w:hAnsi="Times New Roman;serif"/>
          <w:b w:val="false"/>
          <w:color w:val="000000"/>
          <w:sz w:val="22"/>
        </w:rPr>
        <w:t>4.1.7any and all additional sums that the Supplier notifies to the Buyer within 10 Business Days following the Terminate Date, in respect of reasonable costs incurred by the Supplier pursuant to any third party agreements impacted by the termination of the Original Agreement (“</w:t>
      </w:r>
      <w:r>
        <w:rPr>
          <w:rFonts w:ascii="Times New Roman;serif" w:hAnsi="Times New Roman;serif"/>
          <w:b/>
          <w:color w:val="000000"/>
          <w:sz w:val="22"/>
        </w:rPr>
        <w:t>Other Third Party Costs</w:t>
      </w:r>
      <w:r>
        <w:rPr>
          <w:color w:val="000000"/>
        </w:rPr>
        <w:t>”</w:t>
      </w:r>
      <w:r>
        <w:rPr>
          <w:rFonts w:ascii="Times New Roman;serif" w:hAnsi="Times New Roman;serif"/>
          <w:b w:val="false"/>
          <w:color w:val="000000"/>
          <w:sz w:val="22"/>
        </w:rPr>
        <w:t xml:space="preserve">), provided that (i) the Supplier provides the Buyer with supporting invoices or other reasonable evidence of such costs if requested to do so by the Buyer, (ii) such costs relate only to the third party agreements/arrangements that relate exclusively to the manufacture and supply of the Products including their storage and logistics, and (iii) the Buyer’s aggregate liability under this clause shall not exceed </w:t>
      </w:r>
      <w:r>
        <w:rPr>
          <w:rFonts w:ascii="Times New Roman;serif" w:hAnsi="Times New Roman;serif"/>
          <w:b/>
          <w:color w:val="000000"/>
          <w:sz w:val="22"/>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4.1.8all sums costs set out in this clause 4.1 are exclusive of VAT which shall be payable by the Buyer to the Supplier in addition if applicable.</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4.2The Buyer shall pay to the Supplier the sums set out in clause 4.1 (including VAT if applicable) within 30 Business Days of the Buyer’s receipt of an invoice from the Supplier for such amounts. The payment to be made under this clause shall to the Supplier’s bank account as such is set out in the invoice. The Supplier shall issue such invoice to the Buyer no later than 30 days following the Termination Date. </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4.3For the avoidance of doubt, the Buyer’s obligations as set out in the supplemental letter dated 8 July 2026 shall remain in full force and effect and the cap on liability set out in clause 4.1.7 shall not apply in respect of the Buyer’s obligations set out in such supplemental letter.</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5.ADDITIONAL VOLUME</w:t>
      </w:r>
    </w:p>
    <w:p>
      <w:pPr>
        <w:pStyle w:val="TextBody"/>
        <w:bidi w:val="0"/>
        <w:spacing w:lineRule="auto" w:line="288" w:before="0" w:after="240"/>
        <w:ind w:left="0" w:right="0" w:hanging="720"/>
        <w:jc w:val="both"/>
        <w:rPr/>
      </w:pPr>
      <w:r>
        <w:rPr>
          <w:rFonts w:ascii="Times New Roman;serif" w:hAnsi="Times New Roman;serif"/>
          <w:b/>
          <w:color w:val="000000"/>
          <w:sz w:val="22"/>
        </w:rPr>
        <w:t>6.</w:t>
      </w:r>
      <w:r>
        <w:rPr>
          <w:rFonts w:ascii="Times New Roman;serif" w:hAnsi="Times New Roman;serif"/>
          <w:b w:val="false"/>
          <w:color w:val="000000"/>
          <w:sz w:val="22"/>
        </w:rPr>
        <w:t>5.1    Subject to clause 5.2, the Supplier shall endeavour to manufacture and supply to the Buyer the Additional Volume by the 18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of December 2026. For the avoidance of doubt the parties acknowledge that such manufacture and supply may not be concluded prior to the Termination Date     </w:t>
      </w:r>
    </w:p>
    <w:p>
      <w:pPr>
        <w:pStyle w:val="TextBody"/>
        <w:bidi w:val="0"/>
        <w:spacing w:lineRule="auto" w:line="288" w:before="0" w:after="240"/>
        <w:ind w:left="0" w:right="0" w:hanging="720"/>
        <w:jc w:val="both"/>
        <w:rPr/>
      </w:pPr>
      <w:r>
        <w:rPr>
          <w:rFonts w:ascii="Times New Roman;serif" w:hAnsi="Times New Roman;serif"/>
          <w:b/>
          <w:color w:val="000000"/>
          <w:sz w:val="22"/>
        </w:rPr>
        <w:t>7.</w:t>
      </w:r>
      <w:r>
        <w:rPr>
          <w:rFonts w:ascii="Times New Roman;serif" w:hAnsi="Times New Roman;serif"/>
          <w:b w:val="false"/>
          <w:color w:val="000000"/>
          <w:sz w:val="22"/>
        </w:rPr>
        <w:t>5.2    The Supplier’s obligations as set out in clause 14.3.2 of the original agreement in respect of OTIF and in respect of any and all key performance Indications (“KPI’s) shall not apply in respect of the Additional Volume. For the avoidance of doubt, the Additional Incentive Cost shall only be payable if the Supplier manufactures and completes QA release of the Additional Volume by the date specified in clause 4.1.6.</w:t>
      </w:r>
    </w:p>
    <w:p>
      <w:pPr>
        <w:pStyle w:val="TextBody"/>
        <w:bidi w:val="0"/>
        <w:spacing w:lineRule="auto" w:line="288" w:before="0" w:after="240"/>
        <w:ind w:left="0" w:right="0" w:hanging="720"/>
        <w:jc w:val="both"/>
        <w:rPr/>
      </w:pPr>
      <w:r>
        <w:rPr>
          <w:rFonts w:ascii="Times New Roman;serif" w:hAnsi="Times New Roman;serif"/>
          <w:b/>
          <w:color w:val="000000"/>
          <w:sz w:val="22"/>
        </w:rPr>
        <w:t>8.</w:t>
      </w:r>
      <w:r>
        <w:rPr>
          <w:rFonts w:ascii="Times New Roman;serif" w:hAnsi="Times New Roman;serif"/>
          <w:b w:val="false"/>
          <w:color w:val="000000"/>
          <w:sz w:val="22"/>
        </w:rPr>
        <w:t xml:space="preserve">5.3    Save as varied in this Deed, all other terms of the Original Agreement shall continue in full effect until the Termination Date, with any clauses that survive termination as set out in the Original Agreement remaining in effect following the Termination Date </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9.RELEASE AND WAIVER</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9.1Termination of the Original Agreement shall not affect or prejudice any claim or demand that either party may have against the other under or in connection with the Original Agreement arising before the Termination Date or any clauses that survive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10.CONFIDENTIALITY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10.1Both parties shall keep confidential and shall not disclose to any third party (other than its advisers who are under a duty of confidence) the terms of this deed. </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10.2The prohibition in the preceding clause shall not apply to the extent that disclosure is required by law, by any government or other regulatory authority, or by a court or other authority of competent jurisdiction, provided that, to the extent is it legally permitted to do so, the disclosing party gives the other party as much notice of this disclosure as possible. </w:t>
      </w:r>
    </w:p>
    <w:p>
      <w:pPr>
        <w:pStyle w:val="TextBody"/>
        <w:bidi w:val="0"/>
        <w:spacing w:lineRule="auto" w:line="24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11.MISCELLANEOUS PROVISIONS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11.1This deed and any disputes or claims arising out of or in connection with its subject matter or formation (including non-contractual disputes or claims) shall be governed by and construed in accordance with the laws of England and Wales. </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11.2The Parties irrevocably agree that the courts of England and Wales have exclusive jurisdiction to settle any dispute or claim that arises out of or in connection with this deed or its subject matter or formation (including non-contractual disputes or claims). </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11.3If any provision (or part of any provision) of this deed is, or becomes illegal, invalid or unenforceable in any respect: (a) it shall not affect or impair the legality, validity or enforceability of any other provision of this deed; and (b) the parties shall negotiate in good faith to amend such provision (or part provision), such that as amended it is legal, valid and enforceable and to the greatest extent possible achieves the parties' original commercial intention.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11.4Nothing in this deed is intended or shall be construed as creating a partnership, joint venture, the relationship of principal and agent, or any other legal relationship between the parties that would impose liability upon one party for the act or failure to act of any of the others. No party has authority or power to make representations or bind any of the others in any way.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11.5This deed may be executed in any number of counterparts, and by the parties as separate counterparts, but will not be effective until each party has executed at least one counterpart. Each counterpart shall constitute an original of this deed, but all the counterparts shall together constitute one and the same deed.</w:t>
      </w:r>
    </w:p>
    <w:p>
      <w:pPr>
        <w:pStyle w:val="TextBody"/>
        <w:bidi w:val="0"/>
        <w:spacing w:lineRule="auto" w:line="288"/>
        <w:jc w:val="left"/>
        <w:rPr/>
      </w:pPr>
      <w:r>
        <w:rPr>
          <w:rFonts w:ascii="Times New Roman;serif" w:hAnsi="Times New Roman;serif"/>
          <w:b w:val="false"/>
          <w:color w:val="000000"/>
          <w:sz w:val="22"/>
        </w:rPr>
        <w:t>11.6</w:t>
      </w:r>
      <w:r>
        <w:rPr>
          <w:rFonts w:ascii="Times New Roman;serif" w:hAnsi="Times New Roman;serif"/>
          <w:b w:val="false"/>
          <w:color w:val="000000"/>
          <w:sz w:val="22"/>
        </w:rPr>
        <w:t>The Original Agreement and this deed constitute the entire agreement and understanding between the parties in respect of their subject matter (or any of them). Each party acknowledges to the others (and shall execute this deed in reliance on such acknowledgement) that it has not been induced to enter into this deed by, nor relied on, any representation or warranty.</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Executed as a deed with effect from the date specified at the beginning of it.</w:t>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1355"/>
        <w:gridCol w:w="1140"/>
        <w:gridCol w:w="1140"/>
        <w:gridCol w:w="1140"/>
        <w:gridCol w:w="1140"/>
        <w:gridCol w:w="1156"/>
        <w:gridCol w:w="117"/>
        <w:gridCol w:w="117"/>
        <w:gridCol w:w="117"/>
        <w:gridCol w:w="461"/>
        <w:gridCol w:w="461"/>
        <w:gridCol w:w="463"/>
        <w:gridCol w:w="504"/>
        <w:gridCol w:w="365"/>
        <w:gridCol w:w="529"/>
      </w:tblGrid>
      <w:tr>
        <w:trPr/>
        <w:tc>
          <w:tcPr>
            <w:tcW w:w="13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7071"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Executed as a</w:t>
            </w:r>
            <w:r>
              <w:rPr>
                <w:color w:val="000000"/>
              </w:rPr>
              <w:t xml:space="preserve"> </w:t>
            </w:r>
            <w:r>
              <w:rPr>
                <w:rFonts w:ascii="Times New Roman;serif" w:hAnsi="Times New Roman;serif"/>
                <w:b w:val="false"/>
                <w:color w:val="000000"/>
                <w:sz w:val="22"/>
              </w:rPr>
              <w:t xml:space="preserve">deed, but not delivered until the first date specified on page 1, by </w:t>
            </w:r>
            <w:r>
              <w:rPr>
                <w:rFonts w:ascii="Times New Roman;serif" w:hAnsi="Times New Roman;serif"/>
                <w:b/>
                <w:color w:val="000000"/>
                <w:sz w:val="22"/>
              </w:rPr>
              <w:t>RECKITT BENCKISER HEALTHCARE (UK) LIMITED</w:t>
            </w:r>
            <w:r>
              <w:rPr>
                <w:color w:val="000000"/>
              </w:rPr>
              <w:t xml:space="preserve"> </w:t>
            </w:r>
            <w:r>
              <w:rPr>
                <w:rFonts w:ascii="Times New Roman;serif" w:hAnsi="Times New Roman;serif"/>
                <w:b w:val="false"/>
                <w:color w:val="000000"/>
                <w:sz w:val="22"/>
              </w:rPr>
              <w:t>by a director in the presence of a witness:</w:t>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Signature</w:t>
            </w:r>
          </w:p>
        </w:tc>
        <w:tc>
          <w:tcPr>
            <w:tcW w:w="139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 Jay Jackson 9 Sep 2026</w:t>
            </w:r>
          </w:p>
        </w:tc>
      </w:tr>
      <w:tr>
        <w:trPr/>
        <w:tc>
          <w:tcPr>
            <w:tcW w:w="7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 (block capitals)</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Jay Jackson</w:t>
            </w:r>
          </w:p>
        </w:tc>
      </w:tr>
      <w:tr>
        <w:trPr/>
        <w:tc>
          <w:tcPr>
            <w:tcW w:w="7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ash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Director</w:t>
            </w:r>
          </w:p>
        </w:tc>
      </w:tr>
      <w:tr>
        <w:trPr/>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Witness signature</w:t>
            </w:r>
          </w:p>
        </w:tc>
        <w:tc>
          <w:tcPr>
            <w:tcW w:w="3787"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 Matthew Stott 9 Sep 2026</w:t>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xml:space="preserve">Witness name </w:t>
            </w:r>
          </w:p>
        </w:tc>
        <w:tc>
          <w:tcPr>
            <w:tcW w:w="3787"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Matthew Stott</w:t>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(block capitals)</w:t>
            </w:r>
          </w:p>
        </w:tc>
        <w:tc>
          <w:tcPr>
            <w:tcW w:w="3787"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Witness address</w:t>
            </w:r>
          </w:p>
        </w:tc>
        <w:tc>
          <w:tcPr>
            <w:tcW w:w="3787"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Dansom Lane</w:t>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Hull</w:t>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HU8 7DS</w:t>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1415"/>
        <w:gridCol w:w="1061"/>
        <w:gridCol w:w="1061"/>
        <w:gridCol w:w="1177"/>
        <w:gridCol w:w="1061"/>
        <w:gridCol w:w="1077"/>
        <w:gridCol w:w="119"/>
        <w:gridCol w:w="119"/>
        <w:gridCol w:w="119"/>
        <w:gridCol w:w="488"/>
        <w:gridCol w:w="488"/>
        <w:gridCol w:w="490"/>
        <w:gridCol w:w="570"/>
        <w:gridCol w:w="393"/>
        <w:gridCol w:w="567"/>
      </w:tblGrid>
      <w:tr>
        <w:trPr/>
        <w:tc>
          <w:tcPr>
            <w:tcW w:w="141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6852"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Executed as a</w:t>
            </w:r>
            <w:r>
              <w:rPr>
                <w:color w:val="000000"/>
              </w:rPr>
              <w:t xml:space="preserve"> </w:t>
            </w:r>
            <w:r>
              <w:rPr>
                <w:rFonts w:ascii="Times New Roman;serif" w:hAnsi="Times New Roman;serif"/>
                <w:b w:val="false"/>
                <w:color w:val="000000"/>
                <w:sz w:val="22"/>
              </w:rPr>
              <w:t>deed, but not delivered until the first date specified on page 1, by</w:t>
            </w:r>
            <w:r>
              <w:rPr>
                <w:color w:val="000000"/>
              </w:rPr>
              <w:t xml:space="preserve"> </w:t>
            </w:r>
            <w:r>
              <w:rPr>
                <w:rFonts w:ascii="Times New Roman;serif" w:hAnsi="Times New Roman;serif"/>
                <w:b/>
                <w:color w:val="000000"/>
                <w:sz w:val="22"/>
              </w:rPr>
              <w:t>INDIVIOR UK LIMITED</w:t>
            </w:r>
            <w:r>
              <w:rPr>
                <w:rFonts w:ascii="Times New Roman;serif" w:hAnsi="Times New Roman;serif"/>
                <w:b w:val="false"/>
                <w:color w:val="000000"/>
                <w:sz w:val="22"/>
              </w:rPr>
              <w:t>, by a director in the presence of a witness:</w:t>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Signature</w:t>
            </w:r>
          </w:p>
        </w:tc>
        <w:tc>
          <w:tcPr>
            <w:tcW w:w="15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 Adam Wilson 3 Sep 2026</w:t>
            </w:r>
          </w:p>
        </w:tc>
      </w:tr>
      <w:tr>
        <w:trPr/>
        <w:tc>
          <w:tcPr>
            <w:tcW w:w="68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 (block capitals)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Adam Wilson</w:t>
            </w:r>
          </w:p>
        </w:tc>
      </w:tr>
      <w:tr>
        <w:trPr/>
        <w:tc>
          <w:tcPr>
            <w:tcW w:w="68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ash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Director</w:t>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Witness signature</w:t>
            </w:r>
          </w:p>
        </w:tc>
        <w:tc>
          <w:tcPr>
            <w:tcW w:w="3672"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 Alice Givens 3 Sep 2026</w:t>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xml:space="preserve">Witness name </w:t>
            </w:r>
          </w:p>
        </w:tc>
        <w:tc>
          <w:tcPr>
            <w:tcW w:w="3672"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Alice Givens</w:t>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(block capitals)</w:t>
            </w:r>
          </w:p>
        </w:tc>
        <w:tc>
          <w:tcPr>
            <w:tcW w:w="3672"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Witness address</w:t>
            </w:r>
          </w:p>
        </w:tc>
        <w:tc>
          <w:tcPr>
            <w:tcW w:w="3672"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10710 Midlothian</w:t>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Turnpike, Suite 125</w:t>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op w:val="dashed"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bottom w:val="dashed"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Richmond -VA 23235 USA</w:t>
            </w:r>
          </w:p>
        </w:tc>
        <w:tc>
          <w:tcPr>
            <w:tcW w:w="29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2667</Words>
  <Characters>14123</Characters>
  <CharactersWithSpaces>16744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