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92955d425.htm"/>
      <w:bookmarkStart w:id="1" w:name="ksd92955d425"/>
      <w:bookmarkEnd w:id="0"/>
      <w:bookmarkEnd w:id="1"/>
      <w:r>
        <w:rPr>
          <w:rFonts w:ascii="Times New Roman" w:hAnsi="Times New Roman"/>
          <w:sz w:val="20"/>
        </w:rPr>
        <w:t xml:space="preserve">Filed by Indivior Pharmaceuticals,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001-37835)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as amended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Supernus Pharmaceuticals,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001-35518)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pending transaction between Indivior Pharmaceuticals, Inc. (“Indivior”) and Supernus Pharmaceuticals, Inc. (“Supernus”), the following communications were made available by Indivior on August 3,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Subject: </w:t>
      </w:r>
      <w:r>
        <w:rPr>
          <w:rFonts w:ascii="Times New Roman" w:hAnsi="Times New Roman"/>
          <w:sz w:val="20"/>
        </w:rPr>
        <w:t xml:space="preserve">Indivior and Supernus to Combine, Creating a Leading CNS Company </w:t>
      </w:r>
    </w:p>
    <w:p>
      <w:pPr>
        <w:pStyle w:val="TextBody"/>
        <w:bidi w:val="0"/>
        <w:spacing w:before="0" w:after="0"/>
        <w:jc w:val="left"/>
        <w:rPr/>
      </w:pPr>
      <w:r>
        <w:rPr/>
        <w:t> </w:t>
      </w:r>
    </w:p>
    <w:p>
      <w:pPr>
        <w:pStyle w:val="TextBody"/>
        <w:bidi w:val="0"/>
        <w:spacing w:before="0" w:after="0"/>
        <w:jc w:val="center"/>
        <w:rPr/>
      </w:pPr>
      <w:r>
        <w:rPr/>
        <w:drawing>
          <wp:inline distT="0" distB="0" distL="0" distR="0">
            <wp:extent cx="5438775"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38775" cy="1343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Team, </w:t>
      </w:r>
    </w:p>
    <w:p>
      <w:pPr>
        <w:pStyle w:val="TextBody"/>
        <w:bidi w:val="0"/>
        <w:spacing w:before="120" w:after="0"/>
        <w:jc w:val="left"/>
        <w:rPr>
          <w:rFonts w:ascii="Times New Roman" w:hAnsi="Times New Roman"/>
          <w:sz w:val="20"/>
        </w:rPr>
      </w:pPr>
      <w:r>
        <w:rPr>
          <w:rFonts w:ascii="Times New Roman" w:hAnsi="Times New Roman"/>
          <w:sz w:val="20"/>
        </w:rPr>
        <w:t xml:space="preserve">Today, </w:t>
      </w:r>
      <w:r>
        <w:rPr>
          <w:rFonts w:ascii="Times New Roman" w:hAnsi="Times New Roman"/>
          <w:sz w:val="20"/>
          <w:u w:val="single"/>
        </w:rPr>
        <w:t>we announced</w:t>
      </w:r>
      <w:r>
        <w:rPr>
          <w:rFonts w:ascii="Times New Roman" w:hAnsi="Times New Roman"/>
          <w:sz w:val="20"/>
        </w:rPr>
        <w:t xml:space="preserve"> that Indivior and Supernus have entered into an agreement to combine our companies in an all-stock merger of equals to create a leading U.S. biopharmaceutical company focused on improving the lives of people living with central nervous system (CNS) diseases. Bringing these two organizations together is intended to deliver greater value to the patients, communities, and shareholders we serve. </w:t>
      </w:r>
    </w:p>
    <w:p>
      <w:pPr>
        <w:pStyle w:val="TextBody"/>
        <w:bidi w:val="0"/>
        <w:spacing w:before="360" w:after="0"/>
        <w:jc w:val="left"/>
        <w:rPr>
          <w:rFonts w:ascii="Times New Roman" w:hAnsi="Times New Roman"/>
          <w:b/>
          <w:sz w:val="20"/>
        </w:rPr>
      </w:pPr>
      <w:r>
        <w:rPr>
          <w:rFonts w:ascii="Times New Roman" w:hAnsi="Times New Roman"/>
          <w:b/>
          <w:sz w:val="20"/>
        </w:rPr>
        <w:t xml:space="preserve">Why This, Why Now </w:t>
      </w:r>
    </w:p>
    <w:p>
      <w:pPr>
        <w:pStyle w:val="TextBody"/>
        <w:bidi w:val="0"/>
        <w:spacing w:before="120" w:after="0"/>
        <w:jc w:val="left"/>
        <w:rPr>
          <w:rFonts w:ascii="Times New Roman" w:hAnsi="Times New Roman"/>
          <w:sz w:val="20"/>
        </w:rPr>
      </w:pPr>
      <w:r>
        <w:rPr>
          <w:rFonts w:ascii="Times New Roman" w:hAnsi="Times New Roman"/>
          <w:sz w:val="20"/>
        </w:rPr>
        <w:t xml:space="preserve">Since we launched the Indivior Action Agenda, we have moved with purpose through each phase. First to Generate Momentum, then to Accelerate the capabilities, discipline, and execution required to earn our next chapter. On July 1st, we oﬃcially entered Breakout, the phase focused on enhancing and diversifying our growth profile through commercial stage combinations that expand what we can do for patients.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w:t>
      </w:r>
      <w:r>
        <w:rPr>
          <w:rFonts w:ascii="Times New Roman" w:hAnsi="Times New Roman"/>
          <w:i/>
          <w:sz w:val="20"/>
        </w:rPr>
        <w:t xml:space="preserve">is </w:t>
      </w:r>
      <w:r>
        <w:rPr>
          <w:rFonts w:ascii="Times New Roman" w:hAnsi="Times New Roman"/>
          <w:sz w:val="20"/>
        </w:rPr>
        <w:t xml:space="preserve">Breakout. Following the close of our proposed deal, the Indivior Action Agenda will have successfully been completed. We enter this combination from a position of strength, backed by today’s strong second-quarter results. </w:t>
      </w:r>
    </w:p>
    <w:p>
      <w:pPr>
        <w:pStyle w:val="TextBody"/>
        <w:bidi w:val="0"/>
        <w:spacing w:before="240" w:after="0"/>
        <w:jc w:val="left"/>
        <w:rPr>
          <w:rFonts w:ascii="Times New Roman" w:hAnsi="Times New Roman"/>
          <w:sz w:val="20"/>
        </w:rPr>
      </w:pPr>
      <w:r>
        <w:rPr>
          <w:rFonts w:ascii="Times New Roman" w:hAnsi="Times New Roman"/>
          <w:sz w:val="20"/>
        </w:rPr>
        <w:t xml:space="preserve">This is what we have been building toward together, and it would not have been possible without the work each of you has done to get us here. </w:t>
      </w:r>
    </w:p>
    <w:p>
      <w:pPr>
        <w:pStyle w:val="TextBody"/>
        <w:bidi w:val="0"/>
        <w:spacing w:before="360" w:after="0"/>
        <w:jc w:val="left"/>
        <w:rPr>
          <w:rFonts w:ascii="Times New Roman" w:hAnsi="Times New Roman"/>
          <w:b/>
          <w:sz w:val="20"/>
        </w:rPr>
      </w:pPr>
      <w:r>
        <w:rPr>
          <w:rFonts w:ascii="Times New Roman" w:hAnsi="Times New Roman"/>
          <w:b/>
          <w:sz w:val="20"/>
        </w:rPr>
        <w:t xml:space="preserve">Why We are Combining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 diﬀerentiated commercial portfolio: </w:t>
            </w:r>
            <w:r>
              <w:rPr>
                <w:rFonts w:ascii="Times New Roman" w:hAnsi="Times New Roman"/>
                <w:sz w:val="20"/>
              </w:rPr>
              <w:t xml:space="preserve">Together, the combined company brings leading, durable, diﬀerentiated, patent-protected products that provide a platform for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Four established commercial franchises across CNS</w:t>
            </w:r>
            <w:r>
              <w:rPr>
                <w:rFonts w:ascii="Times New Roman" w:hAnsi="Times New Roman"/>
                <w:sz w:val="20"/>
              </w:rPr>
              <w:t xml:space="preserve">: The combined company will have four separate, established businesses — SUBLOCADE® in opioid use disorder, Qelbree® in ADHD, Zurzuvae® in postpartum depression, and Onapgo® and GOCOVRI® in Parkinson’s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Pipeline and R&amp;D capabilities</w:t>
            </w:r>
            <w:r>
              <w:rPr>
                <w:rFonts w:ascii="Times New Roman" w:hAnsi="Times New Roman"/>
                <w:sz w:val="20"/>
              </w:rPr>
              <w:t xml:space="preserve">: Innovative pipeline in epilepsy, depression, and ADHD as well as R&amp;D capabilities that will create a broader innovation engine, with more potential paths forward across addiction, psychiatry, and neurology.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strong</w:t>
            </w:r>
            <w:r>
              <w:rPr>
                <w:rFonts w:ascii="Times New Roman" w:hAnsi="Times New Roman"/>
                <w:sz w:val="20"/>
              </w:rPr>
              <w:t xml:space="preserve"> </w:t>
            </w:r>
            <w:r>
              <w:rPr>
                <w:rFonts w:ascii="Times New Roman" w:hAnsi="Times New Roman"/>
                <w:b/>
                <w:sz w:val="20"/>
              </w:rPr>
              <w:t>ﬁnancial</w:t>
            </w:r>
            <w:r>
              <w:rPr>
                <w:rFonts w:ascii="Times New Roman" w:hAnsi="Times New Roman"/>
                <w:sz w:val="20"/>
              </w:rPr>
              <w:t xml:space="preserve"> </w:t>
            </w:r>
            <w:r>
              <w:rPr>
                <w:rFonts w:ascii="Times New Roman" w:hAnsi="Times New Roman"/>
                <w:b/>
                <w:sz w:val="20"/>
              </w:rPr>
              <w:t>proﬁle</w:t>
            </w:r>
            <w:r>
              <w:rPr>
                <w:rFonts w:ascii="Times New Roman" w:hAnsi="Times New Roman"/>
                <w:sz w:val="20"/>
              </w:rPr>
              <w:t xml:space="preserve">: The combined company has ﬁnancial strength and ﬂexibility to pursue business development opportunities that neither Indivior nor Supernus could contemplate on their own today, momentum reinforced by the strong second-quarter results released today.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Taken together, this combination moves us from a single-franchise growth story to a diversified platform with the capacity to keep building. </w:t>
      </w:r>
    </w:p>
    <w:p>
      <w:pPr>
        <w:pStyle w:val="TextBody"/>
        <w:bidi w:val="0"/>
        <w:spacing w:before="240" w:after="0"/>
        <w:jc w:val="left"/>
        <w:rPr>
          <w:rFonts w:ascii="Times New Roman" w:hAnsi="Times New Roman"/>
          <w:sz w:val="20"/>
        </w:rPr>
      </w:pPr>
      <w:r>
        <w:rPr>
          <w:rFonts w:ascii="Times New Roman" w:hAnsi="Times New Roman"/>
          <w:sz w:val="20"/>
        </w:rPr>
        <w:t xml:space="preserve">As part of this transaction, Supernus CEO, Jack A. Khattar, will serve as Chief Executive Oﬃcer of the combined company at close. He brings deep experience across CNS and behavioral health, and I am confident in his leadership going forward. The combined company will be headquartered in Rockville, Maryland. Until closing, I will continue as CEO of Indivior, and my focus and the leadership team’s focus remains on delivering our 2026 plan, supporting our people, and preparing the organization for a successful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What Happens Next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This afternoon there will be an all-employee meeting at 1 p.m. </w:t>
            </w:r>
            <w:r>
              <w:rPr>
                <w:rFonts w:ascii="Times New Roman" w:hAnsi="Times New Roman"/>
                <w:sz w:val="20"/>
              </w:rPr>
              <w:t xml:space="preserve">A calendar invitation has been 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Read the full earnings announcement </w:t>
            </w:r>
            <w:r>
              <w:rPr>
                <w:rFonts w:ascii="Times New Roman" w:hAnsi="Times New Roman"/>
                <w:sz w:val="20"/>
              </w:rPr>
              <w:t xml:space="preserve">and second-quarter results on the </w:t>
            </w:r>
            <w:r>
              <w:rPr>
                <w:rFonts w:ascii="Times New Roman" w:hAnsi="Times New Roman"/>
                <w:sz w:val="20"/>
                <w:u w:val="single"/>
              </w:rPr>
              <w:t>Indivior website.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Business continues as usual until closing. </w:t>
            </w:r>
            <w:r>
              <w:rPr>
                <w:rFonts w:ascii="Times New Roman" w:hAnsi="Times New Roman"/>
                <w:sz w:val="20"/>
              </w:rPr>
              <w:t xml:space="preserve">We will remain separate companies until the transaction closes, which is expected to happen in Q4, 2026. That means we continue to operate as we do today, and we do not coordinate commercially, share competitively sensitive information outside of approved channels, or speak externally about the transaction unless designated to do so. No social media posts, LinkedIn commentary, blog posts, or public statements about the deal.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Please do not reach out to Supernus counterparts </w:t>
            </w:r>
            <w:r>
              <w:rPr>
                <w:rFonts w:ascii="Times New Roman" w:hAnsi="Times New Roman"/>
                <w:sz w:val="20"/>
              </w:rPr>
              <w:t xml:space="preserve">about integration, commercial matters, or day-to-day business. Integration planning will happen through a structured process. If you receive unexpected inbound outreach, please contact your manager for directions.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Your focus should remain on </w:t>
            </w:r>
            <w:r>
              <w:rPr>
                <w:rFonts w:ascii="Times New Roman" w:hAnsi="Times New Roman"/>
                <w:sz w:val="20"/>
              </w:rPr>
              <w:t xml:space="preserve">serving patients, customers, and our 2026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We will communicate openly</w:t>
            </w:r>
            <w:r>
              <w:rPr>
                <w:rFonts w:ascii="Times New Roman" w:hAnsi="Times New Roman"/>
                <w:sz w:val="20"/>
              </w:rPr>
              <w:t xml:space="preserve">. There is a great deal that has not yet been decided. Where we have answers, we will share them when appropriate. Where we don’t, we will tell you that too.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We are growing our commitment to patients. </w:t>
            </w:r>
            <w:r>
              <w:rPr>
                <w:rFonts w:ascii="Times New Roman" w:hAnsi="Times New Roman"/>
                <w:sz w:val="20"/>
              </w:rPr>
              <w:t xml:space="preserve">The combined company strengthens our ability to improve the lives of people suﬀering from central nervous system diseases through a broader platform and stronger innovation engine.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know announcements like this bring both excitement and uncertainty. When we laid out the Action Agenda, we said Breakout was something we would have to earn the right to, through execution and discipline. What I am certain of is this: the work you have done to Generate Momentum and to Accelerate has earned us the right to be here. The strong quarter we are reporting today is proof of that.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continued focus, professionalism, and commitment to the people who depend on us.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Joe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319530" cy="2712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19530" cy="2712720"/>
                    </a:xfrm>
                    <a:prstGeom prst="rect">
                      <a:avLst/>
                    </a:prstGeom>
                  </pic:spPr>
                </pic:pic>
              </a:graphicData>
            </a:graphic>
          </wp:inline>
        </w:drawing>
      </w:r>
      <w:r>
        <w:rPr/>
        <w:t xml:space="preserve"> </w:t>
      </w:r>
    </w:p>
    <w:p>
      <w:pPr>
        <w:pStyle w:val="TextBody"/>
        <w:bidi w:val="0"/>
        <w:jc w:val="left"/>
        <w:rPr>
          <w:color w:val="FFFFFF"/>
        </w:rPr>
      </w:pPr>
      <w:r>
        <w:rPr>
          <w:color w:val="FFFFFF"/>
        </w:rPr>
        <w:t>‘</w:t>
      </w:r>
      <w:r>
        <w:rPr>
          <w:rFonts w:ascii="Times New Roman" w:hAnsi="Times New Roman"/>
          <w:color w:val="FFFFFF"/>
          <w:sz w:val="2"/>
        </w:rPr>
        <w:t xml:space="preserve">2 lndivior 0  x 1m  ® Announced today: lndivior and Supernus Pharmaceuticals, Inc. entered into a definitive agreement to combine in a tax-free all-stock merger of equals transaction to create a diversified, central nervous system biopharmaceutical company with significant scale. Read the full details of the announcement in our press release: https://lnkd.in/ e8iSiD5y JUST ANNOUNCED INDIVIOR®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Pharmaceuticals, Inc. (“Indivior”) intends to file with the United States Securities and Exchange Commission (“SEC”) a registration statement on Form S-4, which will include a document that serves as a prospectus of Indivior and a joint proxy statement of Indivior and Supernus Pharmaceuticals, Inc.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cash dividend to be paid in connection with the proposed merger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 looking statements speak only as of the date of this communication and neither Supernus nor Indivior undertakes any obligation to update any forward-looking statement, except as required by applicable law. This communication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2023</Words>
  <Characters>11571</Characters>
  <CharactersWithSpaces>13618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