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865d425.htm"/>
      <w:bookmarkStart w:id="1" w:name="ksd166865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3,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001-37835</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41-2520873</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23235</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804-379-1090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1" w:type="dxa"/>
            <w:tcBorders/>
          </w:tcPr>
          <w:p>
            <w:pPr>
              <w:pStyle w:val="TableContents"/>
              <w:bidi w:val="0"/>
              <w:spacing w:before="0" w:after="283"/>
              <w:jc w:val="center"/>
              <w:rPr/>
            </w:pPr>
            <w:r>
              <w:rPr/>
              <w:t>Common stock, $0.001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INDV</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Selection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August 3, 2026, Indivior Pharmaceuticals, Inc., a Delaware corporation (“Indivior”) and Supernus Pharmaceuticals, Inc., a Delaware corporation (“Supernus”) will hold a joint conference call to discuss, among other things, the announcement of the execution of the Agreement and Plan of Merger, dated August 1, 2026, by and among Indivior, Supernus and Artemis Merger Sub Inc., a Delaware corporation and a wholly owned subsidiary of Indivior (the “Merger Agreement”) and the transactions contemplated by the Merger Agreement as well as a joint investor presentation regarding the same (the “</w:t>
      </w:r>
      <w:r>
        <w:rPr>
          <w:rFonts w:ascii="Times New Roman" w:hAnsi="Times New Roman"/>
          <w:sz w:val="20"/>
          <w:u w:val="single"/>
        </w:rPr>
        <w:t>Investor Presentation</w:t>
      </w:r>
      <w:r>
        <w:rPr>
          <w:rFonts w:ascii="Times New Roman" w:hAnsi="Times New Roman"/>
          <w:sz w:val="20"/>
        </w:rPr>
        <w:t xml:space="preserve">”), a copy of which is furnished as Exhibit 99.1 to this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The following exhibits are filed with this Current Report on Form 8-K:</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6"/>
        <w:gridCol w:w="430"/>
        <w:gridCol w:w="9229"/>
      </w:tblGrid>
      <w:tr>
        <w:trPr/>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9229" w:type="dxa"/>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430" w:type="dxa"/>
            <w:tcBorders/>
            <w:vAlign w:val="bottom"/>
          </w:tcPr>
          <w:p>
            <w:pPr>
              <w:pStyle w:val="TableContents"/>
              <w:bidi w:val="0"/>
              <w:spacing w:before="0" w:after="283"/>
              <w:jc w:val="left"/>
              <w:rPr/>
            </w:pPr>
            <w:r>
              <w:rPr/>
              <w:t>  </w:t>
            </w:r>
          </w:p>
        </w:tc>
        <w:tc>
          <w:tcPr>
            <w:tcW w:w="9229" w:type="dxa"/>
            <w:tcBorders/>
            <w:vAlign w:val="bottom"/>
          </w:tcPr>
          <w:p>
            <w:pPr>
              <w:pStyle w:val="TableContents"/>
              <w:bidi w:val="0"/>
              <w:spacing w:before="0" w:after="283"/>
              <w:jc w:val="left"/>
              <w:rPr/>
            </w:pPr>
            <w:r>
              <w:rPr/>
              <w:t>Description</w:t>
            </w:r>
          </w:p>
        </w:tc>
      </w:tr>
      <w:tr>
        <w:trPr>
          <w:trHeight w:val="120" w:hRule="atLeast"/>
        </w:trPr>
        <w:tc>
          <w:tcPr>
            <w:tcW w:w="546" w:type="dxa"/>
            <w:tcBorders/>
            <w:vAlign w:val="center"/>
          </w:tcPr>
          <w:p>
            <w:pPr>
              <w:pStyle w:val="TableContents"/>
              <w:bidi w:val="0"/>
              <w:spacing w:before="0" w:after="283"/>
              <w:jc w:val="left"/>
              <w:rPr>
                <w:sz w:val="4"/>
                <w:szCs w:val="4"/>
              </w:rPr>
            </w:pPr>
            <w:r>
              <w:rPr>
                <w:sz w:val="4"/>
                <w:szCs w:val="4"/>
              </w:rPr>
            </w:r>
          </w:p>
        </w:tc>
        <w:tc>
          <w:tcPr>
            <w:tcW w:w="9659"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9229" w:type="dxa"/>
            <w:tcBorders/>
          </w:tcPr>
          <w:p>
            <w:pPr>
              <w:pStyle w:val="TableContents"/>
              <w:bidi w:val="0"/>
              <w:spacing w:before="0" w:after="283"/>
              <w:jc w:val="left"/>
              <w:rPr/>
            </w:pPr>
            <w:r>
              <w:rPr/>
              <w:t>Investor Presentation, dated August 3, 2026.</w:t>
            </w:r>
          </w:p>
        </w:tc>
      </w:tr>
      <w:tr>
        <w:trPr>
          <w:trHeight w:val="120" w:hRule="atLeast"/>
        </w:trPr>
        <w:tc>
          <w:tcPr>
            <w:tcW w:w="546" w:type="dxa"/>
            <w:tcBorders/>
            <w:vAlign w:val="center"/>
          </w:tcPr>
          <w:p>
            <w:pPr>
              <w:pStyle w:val="TableContents"/>
              <w:bidi w:val="0"/>
              <w:spacing w:before="0" w:after="283"/>
              <w:jc w:val="left"/>
              <w:rPr>
                <w:sz w:val="4"/>
                <w:szCs w:val="4"/>
              </w:rPr>
            </w:pPr>
            <w:r>
              <w:rPr>
                <w:sz w:val="4"/>
                <w:szCs w:val="4"/>
              </w:rPr>
            </w:r>
          </w:p>
        </w:tc>
        <w:tc>
          <w:tcPr>
            <w:tcW w:w="9659"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283"/>
              <w:jc w:val="left"/>
              <w:rPr/>
            </w:pPr>
            <w:r>
              <w:rPr/>
              <w:t>104</w:t>
            </w:r>
          </w:p>
        </w:tc>
        <w:tc>
          <w:tcPr>
            <w:tcW w:w="430" w:type="dxa"/>
            <w:tcBorders/>
            <w:vAlign w:val="bottom"/>
          </w:tcPr>
          <w:p>
            <w:pPr>
              <w:pStyle w:val="TableContents"/>
              <w:bidi w:val="0"/>
              <w:spacing w:before="0" w:after="283"/>
              <w:jc w:val="left"/>
              <w:rPr/>
            </w:pPr>
            <w:r>
              <w:rPr/>
              <w:t>  </w:t>
            </w:r>
          </w:p>
        </w:tc>
        <w:tc>
          <w:tcPr>
            <w:tcW w:w="9229"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United States Securities and Exchange Commission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 looking statements speak only as of the date of this report and neither Supernus nor Indivior undertakes any obligation to update any forward-looking statement, except as required by applicable law. This report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6"/>
        <w:gridCol w:w="109"/>
        <w:gridCol w:w="375"/>
        <w:gridCol w:w="109"/>
        <w:gridCol w:w="654"/>
        <w:gridCol w:w="109"/>
        <w:gridCol w:w="4633"/>
      </w:tblGrid>
      <w:tr>
        <w:trPr/>
        <w:tc>
          <w:tcPr>
            <w:tcW w:w="42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33"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396" w:type="dxa"/>
            <w:gridSpan w:val="3"/>
            <w:tcBorders/>
            <w:vAlign w:val="bottom"/>
          </w:tcPr>
          <w:p>
            <w:pPr>
              <w:pStyle w:val="TableContents"/>
              <w:bidi w:val="0"/>
              <w:spacing w:before="0" w:after="283"/>
              <w:jc w:val="left"/>
              <w:rPr>
                <w:b/>
              </w:rPr>
            </w:pPr>
            <w:r>
              <w:rPr>
                <w:b/>
              </w:rPr>
              <w:t>INDIVIOR PHARMACEUTICALS, INC.</w:t>
            </w:r>
          </w:p>
        </w:tc>
      </w:tr>
      <w:tr>
        <w:trPr>
          <w:trHeight w:val="240" w:hRule="atLeast"/>
        </w:trPr>
        <w:tc>
          <w:tcPr>
            <w:tcW w:w="4216" w:type="dxa"/>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763" w:type="dxa"/>
            <w:gridSpan w:val="2"/>
            <w:tcBorders/>
            <w:vAlign w:val="center"/>
          </w:tcPr>
          <w:p>
            <w:pPr>
              <w:pStyle w:val="TableContents"/>
              <w:bidi w:val="0"/>
              <w:spacing w:before="0" w:after="283"/>
              <w:jc w:val="left"/>
              <w:rPr>
                <w:sz w:val="4"/>
                <w:szCs w:val="4"/>
              </w:rPr>
            </w:pPr>
            <w:r>
              <w:rPr>
                <w:sz w:val="4"/>
                <w:szCs w:val="4"/>
              </w:rPr>
            </w:r>
          </w:p>
        </w:tc>
        <w:tc>
          <w:tcPr>
            <w:tcW w:w="4742" w:type="dxa"/>
            <w:gridSpan w:val="2"/>
            <w:tcBorders/>
            <w:vAlign w:val="center"/>
          </w:tcPr>
          <w:p>
            <w:pPr>
              <w:pStyle w:val="TableContents"/>
              <w:bidi w:val="0"/>
              <w:spacing w:before="0" w:after="283"/>
              <w:jc w:val="left"/>
              <w:rPr>
                <w:sz w:val="4"/>
                <w:szCs w:val="4"/>
              </w:rPr>
            </w:pPr>
            <w:r>
              <w:rPr>
                <w:sz w:val="4"/>
                <w:szCs w:val="4"/>
              </w:rPr>
            </w:r>
          </w:p>
        </w:tc>
      </w:tr>
      <w:tr>
        <w:trPr/>
        <w:tc>
          <w:tcPr>
            <w:tcW w:w="4216" w:type="dxa"/>
            <w:tcBorders/>
            <w:vAlign w:val="bottom"/>
          </w:tcPr>
          <w:p>
            <w:pPr>
              <w:pStyle w:val="TableContents"/>
              <w:bidi w:val="0"/>
              <w:spacing w:before="0" w:after="283"/>
              <w:jc w:val="left"/>
              <w:rPr/>
            </w:pPr>
            <w:r>
              <w:rPr/>
              <w:t>Date: August 3, 2026</w:t>
            </w:r>
          </w:p>
        </w:tc>
        <w:tc>
          <w:tcPr>
            <w:tcW w:w="1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421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633" w:type="dxa"/>
            <w:tcBorders/>
            <w:vAlign w:val="bottom"/>
          </w:tcPr>
          <w:p>
            <w:pPr>
              <w:pStyle w:val="TableContents"/>
              <w:bidi w:val="0"/>
              <w:spacing w:before="0" w:after="283"/>
              <w:jc w:val="left"/>
              <w:rPr/>
            </w:pPr>
            <w:r>
              <w:rPr/>
              <w:t>Ryan Preblick</w:t>
            </w:r>
          </w:p>
        </w:tc>
      </w:tr>
      <w:tr>
        <w:trPr/>
        <w:tc>
          <w:tcPr>
            <w:tcW w:w="421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633"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Merger of Equals to Create a Diversified CNS Biopharmaceutical Leader with Significant Scale AUGUST 3,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and any related oral statements made by representatives of Supernus or Indivior in connection with it, contain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3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Presenters Jack Khattar President and Chief Executive Officer Supernus Pharmaceuticals Joe Ciaffoni Chief Executive Officer Indivior Pharmaceuticals Tim Dec Senior Vice President, Chief Financial Officer Supernus Pharmaceuticals 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Creating a Diversified CNS Biopharmaceutical Leader with Significant Scale Creates a CNS leader through the combination of two highly complementary businesses Combines two differentiated commercial portfolios, creating a portfolio of 11 medicines with key growth products currently expected to continue growing well into the 2030s Establishes four key commercial therapeutic areas in addiction, ADHD, postpartum depression, and Parkinson's disease, serving millions of patients Accelerates profitability and cash flow generation with expected annual cost synergies of at least $125 million Preserves balance sheet strength and enhances flexibility to pursue future business development and other growth opportunities Creates a $2.2Bn(1) CNS leader with a diversified portfolio and significant financial resources to accelerate growth opportunities 11 medicines 4 key therapeutic areas $125m anticipated run rate synergies 5 (1) Pro-forma combined net revenues for the 12 months ended June 30,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Transaction Summary TRANSACTION STRUCTURE 100% tax-free stock-for-stock merger Supernus shareholders to receive 1.5401 Indivior shares for each Supernus share CASH DISTRIBUTION TO INDIVIOR SHAREHOLDERS Prior to closing, Indivior will declare a dividend of $1B in the aggregate to pre-closing stockholders OWNERSHIP POST CLOSE 56.5% Indivior shareholders 43.5% Supernus shareholders GOVERNANCE AND LEADERSHIP 4 Directors from Supernus / 4 Directors from Indivior, including Tony Kingsley, Non-executive Board Chair President and Chief Executive Officer: Jack Khattar Expanded current Supernus executive team NAME AND HEADQUARTERS Company name: Supernus, Inc. Headquarters: Rockville, Maryland TIMING AND APPROVALS Targeted close Q4 2026 Subject to approval of shareholders of both Supernus and Indivior Subject to certain regulatory approvals and customary closing conditions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(Epilepsy and Prophylaxis of Migraine) Combination Creates CNS Leader with a ~$2.2Bn⁽¹⁾ Diversified Portfolio of Commercial Assets G ADDICTION / USE DISORDERS PSYCHIATRY NEUROLOGY COMBINED COMPANY NET REVENUE LTM as of 6/30/26 $2,162 million INDIVIOR Total Sublocade $956 Suboxone Film (US) $227 Ex-US Suboxone Tablets and Film $119 Other $30 SUPERNUS Qelbree $329 Other $233 Gocovri $152 Zurzuvae $116 Diversified portfolio of 11 commercial products with 5 key growth drivers (1) $2,162m of pro forma combined net revenue for the twelve months ended 6/30/26. Note: Supernus Pharmaceuticals is jointly commercializing ZURZUVAE in the U.S. under a collaboration agreement with Biogen Inc. (Opioid Use Disorder) (Opioid Use Disorder) (ADHD) (Postpartum Depression) (Levodopa-Induced Dyskinesia) (Hypomobility / “Off” Episodes in Parkinson’s Disease) (Cervical Dystonia) (Partial-Onset Seizures) 7 Growth Products (Not promoted in the U.S.) ("Off” Episodes in Parkinson’s Disease) (Hypomobility / “Off” Episodes in Parkinson’s Disease)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Ideal Time to Build on Supernus and Indivior Strategic Progress Supernus Indivior STRATEGIC FOCUS Expanding portfolio through growth of current commercial portfolio, business development, and advancement of mid- to late-stage innovative CNS pipeline Successful track record of acquiring and integrating businesses Leadership in developing and commercializing treatments to help people achieve long-term recovery from opioid use disorder (OUD) Implemented 3-phase Indivior Action Agenda to grow SUBLOCADE, simplify the business, and strengthen financial position PROGRESS Strengthened presence in neuropsychiatry with 2025 acquisition of Sage Therapeutics Obtained FDA approval and launched ONAPGO for Parkinson’s disease (PD) Generated significant free cash flow Accelerated SUBLOCADE growth through improved commercial execution and DTC campaign Simplified business resulting in reduction of operating expenses Generated significant operating leverage Combined organization is well-positioned to drive the next phase of growth and value creation 8 PORTFOLIO Commercial portfolio of 9 medicines across psychiatry and neurology Growth products include Qelbree®, ZURZUVAE®, ONAPGO® and GOCOVRI® Innovative pipeline assets in ADHD, depression, epilepsy and other CNS disorders Commercial portfolio of 2 medicines in OUD SUBLOCADE is the #1 prescribed, first-in-class, monthly long-acting injectable (LAI) for the treatment of moderate to severe OUD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Supernus CNS Pipeline to Drive Potential Long-Term Growth PROGRAM INDICATION DISCOVERY PRECLINICAL PHASE 1 PHASE 2 PHASE 3 FILING SPN-817 Epilepsy SPN-820 Depression SPN-443 ADHD Discovery CNS Wholly-owned CNS pipeline provides optionality beyond the commercial portfolio Note: Bar extent reflects the most advanced stage of development for each program. 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 Forma Key Financial Metrics LTM as of 6/30/26⁽¹⁾ · $ in millions $2,162m Total net revenue $888m Adjusted EBITDA⁽²⁾ 41% Adjusted EBITDA margin⁽²⁾ &lt;1x Net leverage⁽⁴⁾ Supernus Indivior PRO FORMA COMBINED COMPANY Total Net Revenue $830 $1,332 $2,162 Adjusted EBITDA $150 $613 $888⁽²⁾ Adjusted EBITDA Margin 18% 46% 41%⁽²⁾ Net Debt ($372) $251 $878⁽3⁾ Net Leverage Ratio (2.47x) 0.41x 0.99x⁽⁴⁾ (1) Side-by-side combined financials are presented for illustrative purposes only and have not been adjusted for accounting differences or purchase accounting. (2) Includes expected annual cost synergies of $125 million. (3) Pro forma net debt reflects reported net debt as of 6/30/26, adjusted for the addition of $650 million of debt assumed to be drawn to fund the dividend and the dividend payment. Pro forma net debt does not reflect transaction costs, financing fees, or costs to achieve synergies. (4) Pro forma net debt (gross debt less cash and cash equivalents) divided by LTM Adjusted EBITDA (Adjusted Operating Earnings), including expected annual cost synergies of at least $125 million. 10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Value Creating Transaction Builds a diversified CNS biopharmaceutical leader with significant scale Enhances and diversifies growth profile Differentiated portfolio with key growth products expected to continue growing well into the 2030s Four key commercial therapeutic areas Increased scale and immediate significant cost synergies Greater flexibility and capacity to pursue growth initiatives Significant value creation for shareholders with upside from potential multiple expansion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Accelerated Profitability and Cash Flow Generation Drives Greater Financial Flexibility Drive growth in commercial portfolio Invest behind SUBLOCADE, Qelbree, ZURZUVAE, ONAPGO and GOCOVRI Advance development pipeline Fund mid- to late-stage CNS programs through value-creating milestones Pursue future business development Expanded capacity for portfolio-expanding transactions 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Q&amp;A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3739</Words>
  <Characters>21952</Characters>
  <CharactersWithSpaces>25678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