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-221615</wp:posOffset>
            </wp:positionV>
            <wp:extent cx="118110" cy="1181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" cy="118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4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-556260</wp:posOffset>
            </wp:positionV>
            <wp:extent cx="118110" cy="118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" cy="118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616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99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5182870</wp:posOffset>
            </wp:positionH>
            <wp:positionV relativeFrom="paragraph">
              <wp:posOffset>-602615</wp:posOffset>
            </wp:positionV>
            <wp:extent cx="57150" cy="6159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3899535</wp:posOffset>
            </wp:positionH>
            <wp:positionV relativeFrom="paragraph">
              <wp:posOffset>-602615</wp:posOffset>
            </wp:positionV>
            <wp:extent cx="57150" cy="615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-1727200</wp:posOffset>
            </wp:positionH>
            <wp:positionV relativeFrom="paragraph">
              <wp:posOffset>639445</wp:posOffset>
            </wp:positionV>
            <wp:extent cx="6998970" cy="46062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970" cy="4606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00"/>
            <w:col w:w="8380"/>
          </w:cols>
          <w:pgMar w:left="460" w:top="213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Ciaffoni Joseph</w:t>
        </w:r>
      </w:hyperlink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 w:right="76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10710 MIDLOTHIAN TURNPIKE SUITE 125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9"/>
          <w:szCs w:val="19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Indivior Pharmaceuticals, Inc.</w:t>
        </w:r>
        <w:r>
          <w:rPr>
            <w:rFonts w:ascii="Times New Roman" w:cs="Times New Roman" w:eastAsia="Times New Roman" w:hAnsi="Times New Roman"/>
            <w:sz w:val="19"/>
            <w:szCs w:val="19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[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INDV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 w:right="740" w:hanging="7"/>
        <w:spacing w:after="0" w:line="282" w:lineRule="auto"/>
        <w:tabs>
          <w:tab w:leader="none" w:pos="14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27"/>
        <w:spacing w:after="0"/>
        <w:tabs>
          <w:tab w:leader="none" w:pos="20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27"/>
        <w:spacing w:after="0"/>
        <w:tabs>
          <w:tab w:leader="none" w:pos="20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80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Chief Executive Officer</w:t>
      </w:r>
    </w:p>
    <w:p>
      <w:pPr>
        <w:spacing w:after="0" w:line="5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3" w:space="720"/>
            <w:col w:w="3347"/>
          </w:cols>
          <w:pgMar w:left="460" w:top="213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79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NORTH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 xml:space="preserve">CHESTERFIELD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perscript"/>
              </w:rPr>
              <w:t>VA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23235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5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06/22/2026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3"/>
              </w:rPr>
              <w:t>M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1,266,903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1,402,879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06/22/2026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89"/>
              </w:rPr>
              <w:t>F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612,549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(3)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38.32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790,330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06/22/2026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9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1,266,903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1,266,903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-1530985</wp:posOffset>
            </wp:positionV>
            <wp:extent cx="28575" cy="15367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536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 w:right="360" w:hanging="4"/>
        <w:spacing w:after="0" w:line="276" w:lineRule="auto"/>
        <w:tabs>
          <w:tab w:leader="none" w:pos="16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Represents the vesting of performance stock units upon the determination that the performance conditions were met at 100% with respect to the performance stock units granted to the Reporting Person on May 13, 2025. As a result, 1,266,903 shares vested on June 22, 2026.</w:t>
      </w:r>
    </w:p>
    <w:p>
      <w:pPr>
        <w:spacing w:after="0" w:line="4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performance stock unit represents a contingent right to receive one share of the Issuer's common stock.</w:t>
      </w:r>
    </w:p>
    <w:p>
      <w:pPr>
        <w:spacing w:after="0" w:line="47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Shares withheld to satisfy tax withholding obligations associated with the vesting of performance stock units on June 22,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6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/s/Alice Givens, Power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06/23/2026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Attorney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900" w:hanging="4"/>
        <w:spacing w:after="0" w:line="323" w:lineRule="auto"/>
        <w:tabs>
          <w:tab w:leader="none" w:pos="171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43841" TargetMode="External"/><Relationship Id="rId14" Type="http://schemas.openxmlformats.org/officeDocument/2006/relationships/hyperlink" Target="http://www.sec.gov/cgi-bin/browse-edgar?action=getcompany&amp;CIK=00016252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2026-06-23T17:01:03Z</dcterms:created>
  <dcterms:modified xsi:type="dcterms:W3CDTF">2026-06-23T17:01:03Z</dcterms:modified>
</cp:coreProperties>
</file>