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6865d8k.htm"/>
      <w:bookmarkStart w:id="1" w:name="ksd16686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INDIVIOR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001-37835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41-2520873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10710 Midlothian Turnpike, Suite 125</w:t>
            </w:r>
          </w:p>
          <w:p>
            <w:pPr>
              <w:pStyle w:val="TableContents"/>
              <w:bidi w:val="0"/>
              <w:spacing w:before="0" w:after="20"/>
              <w:jc w:val="center"/>
              <w:rPr>
                <w:rFonts w:ascii="Times New Roman" w:hAnsi="Times New Roman"/>
                <w:b/>
                <w:sz w:val="20"/>
              </w:rPr>
            </w:pPr>
            <w:r>
              <w:rPr>
                <w:rFonts w:ascii="Times New Roman" w:hAnsi="Times New Roman"/>
                <w:b/>
                <w:sz w:val="20"/>
              </w:rPr>
              <w:t>North Chesterfield, VA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23235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804-379-1090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4100"/>
        <w:gridCol w:w="60"/>
        <w:gridCol w:w="740"/>
        <w:gridCol w:w="60"/>
        <w:gridCol w:w="305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INDV</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Selection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August 3, 2026, Indivior Pharmaceuticals, Inc., a Delaware corporation (“Indivior”) and Supernus Pharmaceuticals, Inc., a Delaware corporation (“Supernus”) will hold a joint conference call to discuss, among other things, the announcement of the execution of the Agreement and Plan of Merger, dated August 1, 2026, by and among Indivior, Supernus and Artemis Merger Sub Inc., a Delaware corporation and a wholly owned subsidiary of Indivior (the “Merger Agreement”) and the transactions contemplated by the Merger Agreement as well as a joint investor presentation regarding the same (the “</w:t>
      </w:r>
      <w:r>
        <w:rPr>
          <w:rFonts w:ascii="Times New Roman" w:hAnsi="Times New Roman"/>
          <w:sz w:val="20"/>
          <w:u w:val="single"/>
        </w:rPr>
        <w:t>Investor Presentation</w:t>
      </w:r>
      <w:r>
        <w:rPr>
          <w:rFonts w:ascii="Times New Roman" w:hAnsi="Times New Roman"/>
          <w:sz w:val="20"/>
        </w:rPr>
        <w:t xml:space="preserve">”), a copy of which is furnished as Exhibit 99.1 to this Current Report on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The following exhibits are filed with this Current Report on Form 8-K:</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545"/>
        <w:gridCol w:w="120"/>
        <w:gridCol w:w="768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66865dex991.htm">
              <w:r>
                <w:rPr>
                  <w:rStyle w:val="InternetLink"/>
                </w:rPr>
                <w:t xml:space="preserve">Investor Presentation, dated August 3,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intends to file with the United States Securities and Exchange Commission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 looking statements speak only as of the date of this report and neither Supernus nor Indivior undertakes any obligation to update any forward-looking statement, except as required by applicable law. This report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47" w:type="dxa"/>
        <w:jc w:val="left"/>
        <w:tblInd w:w="0" w:type="dxa"/>
        <w:tblLayout w:type="fixed"/>
        <w:tblCellMar>
          <w:top w:w="0" w:type="dxa"/>
          <w:left w:w="0" w:type="dxa"/>
          <w:bottom w:w="0" w:type="dxa"/>
          <w:right w:w="0" w:type="dxa"/>
        </w:tblCellMar>
      </w:tblPr>
      <w:tblGrid>
        <w:gridCol w:w="2075"/>
        <w:gridCol w:w="60"/>
        <w:gridCol w:w="23"/>
        <w:gridCol w:w="60"/>
        <w:gridCol w:w="981"/>
        <w:gridCol w:w="90"/>
        <w:gridCol w:w="3358"/>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29" w:type="dxa"/>
            <w:gridSpan w:val="3"/>
            <w:tcBorders/>
            <w:vAlign w:val="center"/>
          </w:tcPr>
          <w:p>
            <w:pPr>
              <w:pStyle w:val="TableContents"/>
              <w:bidi w:val="0"/>
              <w:spacing w:before="0" w:after="283"/>
              <w:jc w:val="left"/>
              <w:rPr>
                <w:b/>
              </w:rPr>
            </w:pPr>
            <w:r>
              <w:rPr>
                <w:b/>
              </w:rPr>
              <w:t>INDIVIOR PHARMACEUTICALS,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41" w:type="dxa"/>
            <w:gridSpan w:val="2"/>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By:</w:t>
            </w:r>
          </w:p>
        </w:tc>
        <w:tc>
          <w:tcPr>
            <w:tcW w:w="90" w:type="dxa"/>
            <w:tcBorders/>
            <w:vAlign w:val="center"/>
          </w:tcPr>
          <w:p>
            <w:pPr>
              <w:pStyle w:val="TableContents"/>
              <w:bidi w:val="0"/>
              <w:spacing w:before="0" w:after="283"/>
              <w:jc w:val="left"/>
              <w:rPr/>
            </w:pPr>
            <w:r>
              <w:rPr/>
              <w:t> </w:t>
            </w:r>
          </w:p>
        </w:tc>
        <w:tc>
          <w:tcPr>
            <w:tcW w:w="335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Name:</w:t>
            </w:r>
          </w:p>
        </w:tc>
        <w:tc>
          <w:tcPr>
            <w:tcW w:w="90" w:type="dxa"/>
            <w:tcBorders/>
            <w:vAlign w:val="center"/>
          </w:tcPr>
          <w:p>
            <w:pPr>
              <w:pStyle w:val="TableContents"/>
              <w:bidi w:val="0"/>
              <w:spacing w:before="0" w:after="283"/>
              <w:jc w:val="left"/>
              <w:rPr/>
            </w:pPr>
            <w:r>
              <w:rPr/>
              <w:t> </w:t>
            </w:r>
          </w:p>
        </w:tc>
        <w:tc>
          <w:tcPr>
            <w:tcW w:w="3358" w:type="dxa"/>
            <w:tcBorders/>
            <w:vAlign w:val="center"/>
          </w:tcPr>
          <w:p>
            <w:pPr>
              <w:pStyle w:val="TableContents"/>
              <w:bidi w:val="0"/>
              <w:spacing w:before="0" w:after="283"/>
              <w:jc w:val="left"/>
              <w:rPr/>
            </w:pPr>
            <w:r>
              <w:rPr/>
              <w:t>Ryan Preblick</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Title:</w:t>
            </w:r>
          </w:p>
        </w:tc>
        <w:tc>
          <w:tcPr>
            <w:tcW w:w="90" w:type="dxa"/>
            <w:tcBorders/>
            <w:vAlign w:val="center"/>
          </w:tcPr>
          <w:p>
            <w:pPr>
              <w:pStyle w:val="TableContents"/>
              <w:bidi w:val="0"/>
              <w:spacing w:before="0" w:after="283"/>
              <w:jc w:val="left"/>
              <w:rPr/>
            </w:pPr>
            <w:r>
              <w:rPr/>
              <w:t> </w:t>
            </w:r>
          </w:p>
        </w:tc>
        <w:tc>
          <w:tcPr>
            <w:tcW w:w="3358" w:type="dxa"/>
            <w:tcBorders/>
            <w:vAlign w:val="center"/>
          </w:tcPr>
          <w:p>
            <w:pPr>
              <w:pStyle w:val="TableContents"/>
              <w:bidi w:val="0"/>
              <w:spacing w:before="0" w:after="283"/>
              <w:jc w:val="left"/>
              <w:rPr/>
            </w:pPr>
            <w:r>
              <w:rPr/>
              <w:t>Chief Financial Officer</w:t>
            </w:r>
          </w:p>
        </w:tc>
      </w:tr>
    </w:tbl>
    <w:p>
      <w:pPr>
        <w:pStyle w:val="TextBody"/>
        <w:bidi w:val="0"/>
        <w:spacing w:before="0" w:after="0"/>
        <w:jc w:val="center"/>
        <w:rPr/>
      </w:pPr>
      <w:bookmarkStart w:id="2" w:name="d166865dex991.htm"/>
      <w:bookmarkStart w:id="3" w:name="ksd166865dex991"/>
      <w:bookmarkEnd w:id="2"/>
      <w:bookmarkEnd w:id="3"/>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Merger of Equals to Create a Diversified CNS Biopharmaceutical Leader with Significant Scale AUGUST 3, 2026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and any related oral statements made by representatives of Supernus or Indivior in connection with it, contain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 Information 3 NO OFFER OR SOLICITATION 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ADDITIONAL INFORMATION AND WHERE TO FIND IT 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PARTICIPANTS IN THE SOLICITATION 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Presenters Jack Khattar President and Chief Executive Officer Supernus Pharmaceuticals Joe Ciaffoni Chief Executive Officer Indivior Pharmaceuticals Tim Dec Senior Vice President, Chief Financial Officer Supernus Pharmaceuticals 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Creating a Diversified CNS Biopharmaceutical Leader with Significant Scale Creates a CNS leader through the combination of two highly complementary businesses Combines two differentiated commercial portfolios, creating a portfolio of 11 medicines with key growth products currently expected to continue growing well into the 2030s Establishes four key commercial therapeutic areas in addiction, ADHD, postpartum depression, and Parkinson's disease, serving millions of patients Accelerates profitability and cash flow generation with expected annual cost synergies of at least $125 million Preserves balance sheet strength and enhances flexibility to pursue future business development and other growth opportunities Creates a $2.2Bn(1) CNS leader with a diversified portfolio and significant financial resources to accelerate growth opportunities 11 medicines 4 key therapeutic areas $125m anticipated run rate synergies 5 (1) Pro-forma combined net revenues for the 12 months ended June 30,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Transaction Summary TRANSACTION STRUCTURE 100% tax-free stock-for-stock merger Supernus shareholders to receive 1.5401 Indivior shares for each Supernus share CASH DISTRIBUTION TO INDIVIOR SHAREHOLDERS Prior to closing, Indivior will declare a dividend of $1B in the aggregate to pre-closing stockholders OWNERSHIP POST CLOSE 56.5% Indivior shareholders 43.5% Supernus shareholders GOVERNANCE AND LEADERSHIP 4 Directors from Supernus / 4 Directors from Indivior, including Tony Kingsley, Non-executive Board Chair President and Chief Executive Officer: Jack Khattar Expanded current Supernus executive team NAME AND HEADQUARTERS Company name: Supernus, Inc. Headquarters: Rockville, Maryland TIMING AND APPROVALS Targeted close Q4 2026 Subject to approval of shareholders of both Supernus and Indivior Subject to certain regulatory approvals and customary closing conditions 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(Epilepsy and Prophylaxis of Migraine) Combination Creates CNS Leader with a ~$2.2Bn⁽¹⁾ Diversified Portfolio of Commercial Assets G ADDICTION / USE DISORDERS PSYCHIATRY NEUROLOGY COMBINED COMPANY NET REVENUE LTM as of 6/30/26 $2,162 million INDIVIOR Total Sublocade $956 Suboxone Film (US) $227 Ex-US Suboxone Tablets and Film $119 Other $30 SUPERNUS Qelbree $329 Other $233 Gocovri $152 Zurzuvae $116 Diversified portfolio of 11 commercial products with 5 key growth drivers (1) $2,162m of pro forma combined net revenue for the twelve months ended 6/30/26. Note: Supernus Pharmaceuticals is jointly commercializing ZURZUVAE in the U.S. under a collaboration agreement with Biogen Inc. (Opioid Use Disorder) (Opioid Use Disorder) (ADHD) (Postpartum Depression) (Levodopa-Induced Dyskinesia) (Hypomobility / “Off” Episodes in Parkinson’s Disease) (Cervical Dystonia) (Partial-Onset Seizures) 7 Growth Products (Not promoted in the U.S.) ("Off” Episodes in Parkinson’s Disease) (Hypomobility / “Off” Episodes in Parkinson’s Disease)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Ideal Time to Build on Supernus and Indivior Strategic Progress Supernus Indivior STRATEGIC FOCUS Expanding portfolio through growth of current commercial portfolio, business development, and advancement of mid- to late-stage innovative CNS pipeline Successful track record of acquiring and integrating businesses Leadership in developing and commercializing treatments to help people achieve long-term recovery from opioid use disorder (OUD) Implemented 3-phase Indivior Action Agenda to grow SUBLOCADE, simplify the business, and strengthen financial position PROGRESS Strengthened presence in neuropsychiatry with 2025 acquisition of Sage Therapeutics Obtained FDA approval and launched ONAPGO for Parkinson’s disease (PD) Generated significant free cash flow Accelerated SUBLOCADE growth through improved commercial execution and DTC campaign Simplified business resulting in reduction of operating expenses Generated significant operating leverage Combined organization is well-positioned to drive the next phase of growth and value creation 8 PORTFOLIO Commercial portfolio of 9 medicines across psychiatry and neurology Growth products include Qelbree®, ZURZUVAE®, ONAPGO® and GOCOVRI® Innovative pipeline assets in ADHD, depression, epilepsy and other CNS disorders Commercial portfolio of 2 medicines in OUD SUBLOCADE is the #1 prescribed, first-in-class, monthly long-acting injectable (LAI) for the treatment of moderate to severe OUD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Supernus CNS Pipeline to Drive Potential Long-Term Growth PROGRAM INDICATION DISCOVERY PRECLINICAL PHASE 1 PHASE 2 PHASE 3 FILING SPN-817 Epilepsy SPN-820 Depression SPN-443 ADHD Discovery CNS Wholly-owned CNS pipeline provides optionality beyond the commercial portfolio Note: Bar extent reflects the most advanced stage of development for each program. 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 Forma Key Financial Metrics LTM as of 6/30/26⁽¹⁾ · $ in millions $2,162m Total net revenue $888m Adjusted EBITDA⁽²⁾ 41% Adjusted EBITDA margin⁽²⁾ &lt;1x Net leverage⁽⁴⁾ Supernus Indivior PRO FORMA COMBINED COMPANY Total Net Revenue $830 $1,332 $2,162 Adjusted EBITDA $150 $613 $888⁽²⁾ Adjusted EBITDA Margin 18% 46% 41%⁽²⁾ Net Debt ($372) $251 $878⁽3⁾ Net Leverage Ratio (2.47x) 0.41x 0.99x⁽⁴⁾ (1) Side-by-side combined financials are presented for illustrative purposes only and have not been adjusted for accounting differences or purchase accounting. (2) Includes expected annual cost synergies of $125 million. (3) Pro forma net debt reflects reported net debt as of 6/30/26, adjusted for the addition of $650 million of debt assumed to be drawn to fund the dividend and the dividend payment. Pro forma net debt does not reflect transaction costs, financing fees, or costs to achieve synergies. (4) Pro forma net debt (gross debt less cash and cash equivalents) divided by LTM Adjusted EBITDA (Adjusted Operating Earnings), including expected annual cost synergies of at least $125 million. 10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Value Creating Transaction Builds a diversified CNS biopharmaceutical leader with significant scale Enhances and diversifies growth profile Differentiated portfolio with key growth products expected to continue growing well into the 2030s Four key commercial therapeutic areas Increased scale and immediate significant cost synergies Greater flexibility and capacity to pursue growth initiatives Significant value creation for shareholders with upside from potential multiple expansion 11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Accelerated Profitability and Cash Flow Generation Drives Greater Financial Flexibility Drive growth in commercial portfolio Invest behind SUBLOCADE, Qelbree, ZURZUVAE, ONAPGO and GOCOVRI Advance development pipeline Fund mid- to late-stage CNS programs through value-creating milestones Pursue future business development Expanded capacity for portfolio-expanding transactions 12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Q&amp;A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3739</Words>
  <Characters>21952</Characters>
  <CharactersWithSpaces>25655</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