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8566d425.htm"/>
      <w:bookmarkStart w:id="1" w:name="ksd118566d425"/>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160" w:after="0"/>
        <w:jc w:val="center"/>
        <w:rPr>
          <w:rFonts w:ascii="Times New Roman" w:hAnsi="Times New Roman"/>
          <w:b/>
          <w:sz w:val="24"/>
        </w:rPr>
      </w:pPr>
      <w:r>
        <w:rPr>
          <w:rFonts w:ascii="Times New Roman" w:hAnsi="Times New Roman"/>
          <w:b/>
          <w:sz w:val="24"/>
        </w:rPr>
        <w:t xml:space="preserve">Date of Report (Date of earliest event reported): August 3,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INDIVIOR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001-37835</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41-2520873</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5"/>
        <w:gridCol w:w="101"/>
        <w:gridCol w:w="4949"/>
      </w:tblGrid>
      <w:tr>
        <w:trPr/>
        <w:tc>
          <w:tcPr>
            <w:tcW w:w="5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5"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10710 Midlothian Turnpike, Suite 125</w:t>
            </w:r>
          </w:p>
          <w:p>
            <w:pPr>
              <w:pStyle w:val="TableContents"/>
              <w:bidi w:val="0"/>
              <w:spacing w:before="0" w:after="20"/>
              <w:jc w:val="center"/>
              <w:rPr>
                <w:rFonts w:ascii="Times New Roman" w:hAnsi="Times New Roman"/>
                <w:b/>
                <w:sz w:val="20"/>
              </w:rPr>
            </w:pPr>
            <w:r>
              <w:rPr>
                <w:rFonts w:ascii="Times New Roman" w:hAnsi="Times New Roman"/>
                <w:b/>
                <w:sz w:val="20"/>
              </w:rPr>
              <w:t>North Chesterfield, VA</w:t>
            </w:r>
          </w:p>
        </w:tc>
        <w:tc>
          <w:tcPr>
            <w:tcW w:w="101"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23235</w:t>
            </w:r>
          </w:p>
        </w:tc>
      </w:tr>
      <w:tr>
        <w:trPr/>
        <w:tc>
          <w:tcPr>
            <w:tcW w:w="5155" w:type="dxa"/>
            <w:tcBorders/>
          </w:tcPr>
          <w:p>
            <w:pPr>
              <w:pStyle w:val="TableContents"/>
              <w:bidi w:val="0"/>
              <w:spacing w:before="0" w:after="283"/>
              <w:jc w:val="center"/>
              <w:rPr>
                <w:b/>
              </w:rPr>
            </w:pPr>
            <w:r>
              <w:rPr>
                <w:b/>
              </w:rPr>
              <w:t>(Address of principal executive offices)</w:t>
            </w:r>
          </w:p>
        </w:tc>
        <w:tc>
          <w:tcPr>
            <w:tcW w:w="101"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 xml:space="preserve">Registrant’s telephone number, including area code: 804-379-1090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6939"/>
      </w:tblGrid>
      <w:tr>
        <w:trPr/>
        <w:tc>
          <w:tcPr>
            <w:tcW w:w="6939" w:type="dxa"/>
            <w:tcBorders/>
            <w:vAlign w:val="center"/>
          </w:tcPr>
          <w:p>
            <w:pPr>
              <w:pStyle w:val="TableContents"/>
              <w:bidi w:val="0"/>
              <w:spacing w:before="0" w:after="283"/>
              <w:jc w:val="left"/>
              <w:rPr>
                <w:sz w:val="4"/>
                <w:szCs w:val="4"/>
              </w:rPr>
            </w:pPr>
            <w:r>
              <w:rPr>
                <w:sz w:val="4"/>
                <w:szCs w:val="4"/>
              </w:rPr>
            </w:r>
          </w:p>
        </w:tc>
      </w:tr>
      <w:tr>
        <w:trPr/>
        <w:tc>
          <w:tcPr>
            <w:tcW w:w="6939" w:type="dxa"/>
            <w:tcBorders/>
          </w:tcPr>
          <w:p>
            <w:pPr>
              <w:pStyle w:val="TableContents"/>
              <w:bidi w:val="0"/>
              <w:spacing w:before="0" w:after="283"/>
              <w:jc w:val="center"/>
              <w:rPr>
                <w:b/>
              </w:rPr>
            </w:pPr>
            <w:r>
              <w:rPr>
                <w:b/>
              </w:rPr>
              <w:t>n/a</w:t>
            </w:r>
          </w:p>
        </w:tc>
      </w:tr>
      <w:tr>
        <w:trPr/>
        <w:tc>
          <w:tcPr>
            <w:tcW w:w="6939" w:type="dxa"/>
            <w:tcBorders/>
          </w:tcPr>
          <w:p>
            <w:pPr>
              <w:pStyle w:val="TableContents"/>
              <w:bidi w:val="0"/>
              <w:spacing w:before="0" w:after="283"/>
              <w:jc w:val="center"/>
              <w:rPr>
                <w:b/>
              </w:rPr>
            </w:pPr>
            <w:r>
              <w:rPr>
                <w:b/>
              </w:rPr>
              <w:t>(Former name or former address, if changed since last report.)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16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71" w:type="dxa"/>
            <w:tcBorders/>
          </w:tcPr>
          <w:p>
            <w:pPr>
              <w:pStyle w:val="TableContents"/>
              <w:bidi w:val="0"/>
              <w:spacing w:before="0" w:after="283"/>
              <w:jc w:val="center"/>
              <w:rPr/>
            </w:pPr>
            <w:r>
              <w:rPr/>
              <w:t>common stock, $0.001 par value per share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INDV</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60" w:after="0"/>
        <w:jc w:val="left"/>
        <w:rPr>
          <w:rFonts w:ascii="Times New Roman" w:hAnsi="Times New Roman"/>
          <w:sz w:val="20"/>
        </w:rPr>
      </w:pPr>
      <w:r>
        <w:rPr>
          <w:rFonts w:ascii="Times New Roman" w:hAnsi="Times New Roman"/>
          <w:sz w:val="20"/>
        </w:rPr>
        <w:t xml:space="preserve">Emerging growth company </w:t>
      </w:r>
    </w:p>
    <w:p>
      <w:pPr>
        <w:pStyle w:val="TextBody"/>
        <w:bidi w:val="0"/>
        <w:spacing w:before="0" w:after="0"/>
        <w:jc w:val="right"/>
        <w:rPr/>
      </w:pPr>
      <w:r>
        <w:rPr/>
        <w:t xml:space="preserve">☐ </w:t>
      </w:r>
    </w:p>
    <w:p>
      <w:pPr>
        <w:pStyle w:val="TextBody"/>
        <w:bidi w:val="0"/>
        <w:spacing w:before="16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right"/>
        <w:rPr/>
      </w:pPr>
      <w:r>
        <w:rPr/>
        <w:t xml:space="preser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2.02</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3, 2026, Indivior Pharmaceuticals, Inc. (“Indivior” or the “Company”) issued a press release reporting its financial results for the period ended June 30, 2026. The press release is furnished as Exhibit 99.1 to this Current Report on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7.01</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3, 2026, the Company posted presentation materials on its website. The presentation materials are furnished as 99.2 to this Current Report on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7"/>
        <w:gridCol w:w="431"/>
        <w:gridCol w:w="9227"/>
      </w:tblGrid>
      <w:tr>
        <w:trPr/>
        <w:tc>
          <w:tcPr>
            <w:tcW w:w="547"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9227" w:type="dxa"/>
            <w:tcBorders/>
            <w:vAlign w:val="center"/>
          </w:tcPr>
          <w:p>
            <w:pPr>
              <w:pStyle w:val="TableContents"/>
              <w:bidi w:val="0"/>
              <w:spacing w:before="0" w:after="283"/>
              <w:jc w:val="left"/>
              <w:rPr>
                <w:sz w:val="4"/>
                <w:szCs w:val="4"/>
              </w:rPr>
            </w:pPr>
            <w:r>
              <w:rPr>
                <w:sz w:val="4"/>
                <w:szCs w:val="4"/>
              </w:rPr>
            </w:r>
          </w:p>
        </w:tc>
      </w:tr>
      <w:tr>
        <w:trPr/>
        <w:tc>
          <w:tcPr>
            <w:tcW w:w="54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431" w:type="dxa"/>
            <w:tcBorders/>
            <w:vAlign w:val="bottom"/>
          </w:tcPr>
          <w:p>
            <w:pPr>
              <w:pStyle w:val="TableContents"/>
              <w:bidi w:val="0"/>
              <w:spacing w:before="0" w:after="283"/>
              <w:jc w:val="left"/>
              <w:rPr/>
            </w:pPr>
            <w:r>
              <w:rPr/>
              <w:t>  </w:t>
            </w:r>
          </w:p>
        </w:tc>
        <w:tc>
          <w:tcPr>
            <w:tcW w:w="92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547" w:type="dxa"/>
            <w:tcBorders/>
            <w:vAlign w:val="center"/>
          </w:tcPr>
          <w:p>
            <w:pPr>
              <w:pStyle w:val="TableContents"/>
              <w:bidi w:val="0"/>
              <w:spacing w:before="0" w:after="283"/>
              <w:jc w:val="left"/>
              <w:rPr>
                <w:sz w:val="4"/>
                <w:szCs w:val="4"/>
              </w:rPr>
            </w:pPr>
            <w:r>
              <w:rPr>
                <w:sz w:val="4"/>
                <w:szCs w:val="4"/>
              </w:rPr>
            </w:r>
          </w:p>
        </w:tc>
        <w:tc>
          <w:tcPr>
            <w:tcW w:w="9658" w:type="dxa"/>
            <w:gridSpan w:val="2"/>
            <w:tcBorders/>
            <w:vAlign w:val="center"/>
          </w:tcPr>
          <w:p>
            <w:pPr>
              <w:pStyle w:val="TableContents"/>
              <w:bidi w:val="0"/>
              <w:spacing w:before="0" w:after="283"/>
              <w:jc w:val="left"/>
              <w:rPr>
                <w:sz w:val="4"/>
                <w:szCs w:val="4"/>
              </w:rPr>
            </w:pPr>
            <w:r>
              <w:rPr>
                <w:sz w:val="4"/>
                <w:szCs w:val="4"/>
              </w:rPr>
            </w:r>
          </w:p>
        </w:tc>
      </w:tr>
      <w:tr>
        <w:trPr/>
        <w:tc>
          <w:tcPr>
            <w:tcW w:w="547" w:type="dxa"/>
            <w:tcBorders/>
          </w:tcPr>
          <w:p>
            <w:pPr>
              <w:pStyle w:val="TableContents"/>
              <w:bidi w:val="0"/>
              <w:spacing w:before="0" w:after="283"/>
              <w:jc w:val="left"/>
              <w:rPr/>
            </w:pPr>
            <w:r>
              <w:rPr/>
              <w:t>99.1</w:t>
            </w:r>
          </w:p>
        </w:tc>
        <w:tc>
          <w:tcPr>
            <w:tcW w:w="431" w:type="dxa"/>
            <w:tcBorders/>
            <w:vAlign w:val="bottom"/>
          </w:tcPr>
          <w:p>
            <w:pPr>
              <w:pStyle w:val="TableContents"/>
              <w:bidi w:val="0"/>
              <w:spacing w:before="0" w:after="283"/>
              <w:jc w:val="left"/>
              <w:rPr/>
            </w:pPr>
            <w:r>
              <w:rPr/>
              <w:t>  </w:t>
            </w:r>
          </w:p>
        </w:tc>
        <w:tc>
          <w:tcPr>
            <w:tcW w:w="9227" w:type="dxa"/>
            <w:tcBorders/>
          </w:tcPr>
          <w:p>
            <w:pPr>
              <w:pStyle w:val="TableContents"/>
              <w:bidi w:val="0"/>
              <w:spacing w:before="0" w:after="283"/>
              <w:jc w:val="left"/>
              <w:rPr/>
            </w:pPr>
            <w:r>
              <w:rPr/>
              <w:t>Press Release dated August 3, 2026.</w:t>
            </w:r>
          </w:p>
        </w:tc>
      </w:tr>
      <w:tr>
        <w:trPr>
          <w:trHeight w:val="120" w:hRule="atLeast"/>
        </w:trPr>
        <w:tc>
          <w:tcPr>
            <w:tcW w:w="547" w:type="dxa"/>
            <w:tcBorders/>
            <w:vAlign w:val="center"/>
          </w:tcPr>
          <w:p>
            <w:pPr>
              <w:pStyle w:val="TableContents"/>
              <w:bidi w:val="0"/>
              <w:spacing w:before="0" w:after="283"/>
              <w:jc w:val="left"/>
              <w:rPr>
                <w:sz w:val="4"/>
                <w:szCs w:val="4"/>
              </w:rPr>
            </w:pPr>
            <w:r>
              <w:rPr>
                <w:sz w:val="4"/>
                <w:szCs w:val="4"/>
              </w:rPr>
            </w:r>
          </w:p>
        </w:tc>
        <w:tc>
          <w:tcPr>
            <w:tcW w:w="9658" w:type="dxa"/>
            <w:gridSpan w:val="2"/>
            <w:tcBorders/>
            <w:vAlign w:val="center"/>
          </w:tcPr>
          <w:p>
            <w:pPr>
              <w:pStyle w:val="TableContents"/>
              <w:bidi w:val="0"/>
              <w:spacing w:before="0" w:after="283"/>
              <w:jc w:val="left"/>
              <w:rPr>
                <w:sz w:val="4"/>
                <w:szCs w:val="4"/>
              </w:rPr>
            </w:pPr>
            <w:r>
              <w:rPr>
                <w:sz w:val="4"/>
                <w:szCs w:val="4"/>
              </w:rPr>
            </w:r>
          </w:p>
        </w:tc>
      </w:tr>
      <w:tr>
        <w:trPr/>
        <w:tc>
          <w:tcPr>
            <w:tcW w:w="547" w:type="dxa"/>
            <w:tcBorders/>
          </w:tcPr>
          <w:p>
            <w:pPr>
              <w:pStyle w:val="TableContents"/>
              <w:bidi w:val="0"/>
              <w:spacing w:before="0" w:after="283"/>
              <w:jc w:val="left"/>
              <w:rPr/>
            </w:pPr>
            <w:r>
              <w:rPr/>
              <w:t>99.2</w:t>
            </w:r>
          </w:p>
        </w:tc>
        <w:tc>
          <w:tcPr>
            <w:tcW w:w="431" w:type="dxa"/>
            <w:tcBorders/>
            <w:vAlign w:val="bottom"/>
          </w:tcPr>
          <w:p>
            <w:pPr>
              <w:pStyle w:val="TableContents"/>
              <w:bidi w:val="0"/>
              <w:spacing w:before="0" w:after="283"/>
              <w:jc w:val="left"/>
              <w:rPr/>
            </w:pPr>
            <w:r>
              <w:rPr/>
              <w:t>  </w:t>
            </w:r>
          </w:p>
        </w:tc>
        <w:tc>
          <w:tcPr>
            <w:tcW w:w="9227" w:type="dxa"/>
            <w:tcBorders/>
          </w:tcPr>
          <w:p>
            <w:pPr>
              <w:pStyle w:val="TableContents"/>
              <w:bidi w:val="0"/>
              <w:spacing w:before="0" w:after="283"/>
              <w:jc w:val="left"/>
              <w:rPr/>
            </w:pPr>
            <w:r>
              <w:rPr/>
              <w:t>Presentation materials dated August 3, 2026.</w:t>
            </w:r>
          </w:p>
        </w:tc>
      </w:tr>
      <w:tr>
        <w:trPr>
          <w:trHeight w:val="120" w:hRule="atLeast"/>
        </w:trPr>
        <w:tc>
          <w:tcPr>
            <w:tcW w:w="547" w:type="dxa"/>
            <w:tcBorders/>
            <w:vAlign w:val="center"/>
          </w:tcPr>
          <w:p>
            <w:pPr>
              <w:pStyle w:val="TableContents"/>
              <w:bidi w:val="0"/>
              <w:spacing w:before="0" w:after="283"/>
              <w:jc w:val="left"/>
              <w:rPr>
                <w:sz w:val="4"/>
                <w:szCs w:val="4"/>
              </w:rPr>
            </w:pPr>
            <w:r>
              <w:rPr>
                <w:sz w:val="4"/>
                <w:szCs w:val="4"/>
              </w:rPr>
            </w:r>
          </w:p>
        </w:tc>
        <w:tc>
          <w:tcPr>
            <w:tcW w:w="9658" w:type="dxa"/>
            <w:gridSpan w:val="2"/>
            <w:tcBorders/>
            <w:vAlign w:val="center"/>
          </w:tcPr>
          <w:p>
            <w:pPr>
              <w:pStyle w:val="TableContents"/>
              <w:bidi w:val="0"/>
              <w:spacing w:before="0" w:after="283"/>
              <w:jc w:val="left"/>
              <w:rPr>
                <w:sz w:val="4"/>
                <w:szCs w:val="4"/>
              </w:rPr>
            </w:pPr>
            <w:r>
              <w:rPr>
                <w:sz w:val="4"/>
                <w:szCs w:val="4"/>
              </w:rPr>
            </w:r>
          </w:p>
        </w:tc>
      </w:tr>
      <w:tr>
        <w:trPr/>
        <w:tc>
          <w:tcPr>
            <w:tcW w:w="547" w:type="dxa"/>
            <w:tcBorders/>
          </w:tcPr>
          <w:p>
            <w:pPr>
              <w:pStyle w:val="TableContents"/>
              <w:bidi w:val="0"/>
              <w:spacing w:before="0" w:after="283"/>
              <w:jc w:val="left"/>
              <w:rPr/>
            </w:pPr>
            <w:r>
              <w:rPr/>
              <w:t>104</w:t>
            </w:r>
          </w:p>
        </w:tc>
        <w:tc>
          <w:tcPr>
            <w:tcW w:w="431" w:type="dxa"/>
            <w:tcBorders/>
            <w:vAlign w:val="bottom"/>
          </w:tcPr>
          <w:p>
            <w:pPr>
              <w:pStyle w:val="TableContents"/>
              <w:bidi w:val="0"/>
              <w:spacing w:before="0" w:after="283"/>
              <w:jc w:val="left"/>
              <w:rPr/>
            </w:pPr>
            <w:r>
              <w:rPr/>
              <w:t>  </w:t>
            </w:r>
          </w:p>
        </w:tc>
        <w:tc>
          <w:tcPr>
            <w:tcW w:w="9227" w:type="dxa"/>
            <w:tcBorders/>
          </w:tcPr>
          <w:p>
            <w:pPr>
              <w:pStyle w:val="TableContents"/>
              <w:bidi w:val="0"/>
              <w:spacing w:before="0" w:after="283"/>
              <w:jc w:val="left"/>
              <w:rPr/>
            </w:pPr>
            <w:r>
              <w:rPr/>
              <w:t>Cover page interactive data file (embedded within the Inline XBRL document).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16"/>
        <w:gridCol w:w="109"/>
        <w:gridCol w:w="387"/>
        <w:gridCol w:w="109"/>
        <w:gridCol w:w="370"/>
        <w:gridCol w:w="109"/>
        <w:gridCol w:w="4705"/>
      </w:tblGrid>
      <w:tr>
        <w:trPr/>
        <w:tc>
          <w:tcPr>
            <w:tcW w:w="441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705" w:type="dxa"/>
            <w:tcBorders/>
            <w:vAlign w:val="center"/>
          </w:tcPr>
          <w:p>
            <w:pPr>
              <w:pStyle w:val="TableContents"/>
              <w:bidi w:val="0"/>
              <w:spacing w:before="0" w:after="283"/>
              <w:jc w:val="left"/>
              <w:rPr>
                <w:sz w:val="4"/>
                <w:szCs w:val="4"/>
              </w:rPr>
            </w:pPr>
            <w:r>
              <w:rPr>
                <w:sz w:val="4"/>
                <w:szCs w:val="4"/>
              </w:rPr>
            </w:r>
          </w:p>
        </w:tc>
      </w:tr>
      <w:tr>
        <w:trPr/>
        <w:tc>
          <w:tcPr>
            <w:tcW w:w="441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705" w:type="dxa"/>
            <w:tcBorders/>
            <w:vAlign w:val="bottom"/>
          </w:tcPr>
          <w:p>
            <w:pPr>
              <w:pStyle w:val="TableContents"/>
              <w:bidi w:val="0"/>
              <w:spacing w:before="0" w:after="283"/>
              <w:jc w:val="left"/>
              <w:rPr>
                <w:b/>
              </w:rPr>
            </w:pPr>
            <w:r>
              <w:rPr>
                <w:b/>
              </w:rPr>
              <w:t>Indivior Pharmaceuticals, Inc.</w:t>
            </w:r>
          </w:p>
        </w:tc>
      </w:tr>
      <w:tr>
        <w:trPr>
          <w:trHeight w:val="240" w:hRule="atLeast"/>
        </w:trPr>
        <w:tc>
          <w:tcPr>
            <w:tcW w:w="4416"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4814" w:type="dxa"/>
            <w:gridSpan w:val="2"/>
            <w:tcBorders/>
            <w:vAlign w:val="center"/>
          </w:tcPr>
          <w:p>
            <w:pPr>
              <w:pStyle w:val="TableContents"/>
              <w:bidi w:val="0"/>
              <w:spacing w:before="0" w:after="283"/>
              <w:jc w:val="left"/>
              <w:rPr>
                <w:sz w:val="4"/>
                <w:szCs w:val="4"/>
              </w:rPr>
            </w:pPr>
            <w:r>
              <w:rPr>
                <w:sz w:val="4"/>
                <w:szCs w:val="4"/>
              </w:rPr>
            </w:r>
          </w:p>
        </w:tc>
      </w:tr>
      <w:tr>
        <w:trPr/>
        <w:tc>
          <w:tcPr>
            <w:tcW w:w="4416" w:type="dxa"/>
            <w:tcBorders/>
          </w:tcPr>
          <w:p>
            <w:pPr>
              <w:pStyle w:val="TableContents"/>
              <w:bidi w:val="0"/>
              <w:spacing w:before="0" w:after="283"/>
              <w:jc w:val="left"/>
              <w:rPr/>
            </w:pPr>
            <w:r>
              <w:rPr/>
              <w:t>Date: August 3, 2026</w:t>
            </w:r>
          </w:p>
        </w:tc>
        <w:tc>
          <w:tcPr>
            <w:tcW w:w="109"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0"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70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Preblick</w:t>
            </w:r>
          </w:p>
        </w:tc>
      </w:tr>
      <w:tr>
        <w:trPr/>
        <w:tc>
          <w:tcPr>
            <w:tcW w:w="441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pPr>
            <w:r>
              <w:rPr/>
              <w:t>Name: Ryan Preblick</w:t>
            </w:r>
          </w:p>
        </w:tc>
      </w:tr>
      <w:tr>
        <w:trPr/>
        <w:tc>
          <w:tcPr>
            <w:tcW w:w="4416"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pPr>
            <w:r>
              <w:rPr/>
              <w:t>Title: Chief Financial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0" w:after="0"/>
        <w:jc w:val="left"/>
        <w:rPr/>
      </w:pPr>
      <w:r>
        <w:rPr/>
        <w:t> </w:t>
      </w:r>
    </w:p>
    <w:p>
      <w:pPr>
        <w:pStyle w:val="TextBody"/>
        <w:bidi w:val="0"/>
        <w:spacing w:before="0" w:after="0"/>
        <w:jc w:val="right"/>
        <w:rPr/>
      </w:pPr>
      <w:r>
        <w:rPr/>
        <w:drawing>
          <wp:inline distT="0" distB="0" distL="0" distR="0">
            <wp:extent cx="110490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04900" cy="37147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Indivior Reports Second Quarter 2026 Financial Results and Raises Full-Year 2026 Guidance </w:t>
      </w:r>
    </w:p>
    <w:p>
      <w:pPr>
        <w:pStyle w:val="TextBody"/>
        <w:bidi w:val="0"/>
        <w:spacing w:before="240" w:after="0"/>
        <w:jc w:val="center"/>
        <w:rPr>
          <w:rFonts w:ascii="Times New Roman" w:hAnsi="Times New Roman"/>
          <w:sz w:val="20"/>
        </w:rPr>
      </w:pPr>
      <w:r>
        <w:rPr>
          <w:rFonts w:ascii="Times New Roman" w:hAnsi="Times New Roman"/>
          <w:sz w:val="20"/>
        </w:rPr>
        <w:t> </w:t>
      </w:r>
      <w:r>
        <w:rPr>
          <w:rFonts w:ascii="Times New Roman" w:hAnsi="Times New Roman"/>
          <w:i/>
          <w:sz w:val="20"/>
        </w:rPr>
        <w:t xml:space="preserve">Q2’26 Total Net Revenue of $343 Million, Up 14% YoY </w:t>
      </w:r>
    </w:p>
    <w:p>
      <w:pPr>
        <w:pStyle w:val="TextBody"/>
        <w:bidi w:val="0"/>
        <w:spacing w:before="120" w:after="0"/>
        <w:jc w:val="center"/>
        <w:rPr>
          <w:rFonts w:ascii="Times New Roman" w:hAnsi="Times New Roman"/>
          <w:sz w:val="20"/>
        </w:rPr>
      </w:pPr>
      <w:r>
        <w:rPr>
          <w:rFonts w:ascii="Times New Roman" w:hAnsi="Times New Roman"/>
          <w:sz w:val="20"/>
        </w:rPr>
        <w:t> </w:t>
      </w:r>
      <w:r>
        <w:rPr>
          <w:rFonts w:ascii="Times New Roman" w:hAnsi="Times New Roman"/>
          <w:i/>
          <w:sz w:val="20"/>
        </w:rPr>
        <w:t xml:space="preserve">Record Quarterly Total SUBLOCADE® Net Revenue of $253 Million in Q2’26, Up 21% YoY </w:t>
      </w:r>
    </w:p>
    <w:p>
      <w:pPr>
        <w:pStyle w:val="TextBody"/>
        <w:bidi w:val="0"/>
        <w:spacing w:before="120" w:after="0"/>
        <w:jc w:val="center"/>
        <w:rPr>
          <w:rFonts w:ascii="Times New Roman" w:hAnsi="Times New Roman"/>
          <w:sz w:val="20"/>
        </w:rPr>
      </w:pPr>
      <w:r>
        <w:rPr>
          <w:rFonts w:ascii="Times New Roman" w:hAnsi="Times New Roman"/>
          <w:sz w:val="20"/>
        </w:rPr>
        <w:t> </w:t>
      </w:r>
      <w:r>
        <w:rPr>
          <w:rFonts w:ascii="Times New Roman" w:hAnsi="Times New Roman"/>
          <w:i/>
          <w:sz w:val="20"/>
        </w:rPr>
        <w:t xml:space="preserve">Record Quarterly GAAP Net Income of $122 Million and Record Non-GAAP Net Income of $142 Million in Q2’26 </w:t>
      </w:r>
    </w:p>
    <w:p>
      <w:pPr>
        <w:pStyle w:val="TextBody"/>
        <w:bidi w:val="0"/>
        <w:spacing w:before="120" w:after="0"/>
        <w:jc w:val="center"/>
        <w:rPr>
          <w:rFonts w:ascii="Times New Roman" w:hAnsi="Times New Roman"/>
          <w:sz w:val="20"/>
        </w:rPr>
      </w:pPr>
      <w:r>
        <w:rPr>
          <w:rFonts w:ascii="Times New Roman" w:hAnsi="Times New Roman"/>
          <w:sz w:val="20"/>
        </w:rPr>
        <w:t> </w:t>
      </w:r>
      <w:r>
        <w:rPr>
          <w:rFonts w:ascii="Times New Roman" w:hAnsi="Times New Roman"/>
          <w:i/>
          <w:sz w:val="20"/>
        </w:rPr>
        <w:t xml:space="preserve">Record Quarterly Adjusted EBITDA of $186 Million in Q2’26, Up 111% YoY </w:t>
      </w:r>
    </w:p>
    <w:p>
      <w:pPr>
        <w:pStyle w:val="TextBody"/>
        <w:bidi w:val="0"/>
        <w:spacing w:before="120" w:after="0"/>
        <w:jc w:val="center"/>
        <w:rPr>
          <w:rFonts w:ascii="Times New Roman" w:hAnsi="Times New Roman"/>
          <w:sz w:val="20"/>
        </w:rPr>
      </w:pPr>
      <w:r>
        <w:rPr>
          <w:rFonts w:ascii="Times New Roman" w:hAnsi="Times New Roman"/>
          <w:sz w:val="20"/>
        </w:rPr>
        <w:t> </w:t>
      </w:r>
      <w:r>
        <w:rPr>
          <w:rFonts w:ascii="Times New Roman" w:hAnsi="Times New Roman"/>
          <w:i/>
          <w:sz w:val="20"/>
        </w:rPr>
        <w:t xml:space="preserve">Repurchased Approximately 4.7 Million Shares in Q2’26 for $175 Million </w:t>
      </w:r>
    </w:p>
    <w:p>
      <w:pPr>
        <w:pStyle w:val="TextBody"/>
        <w:bidi w:val="0"/>
        <w:spacing w:before="240" w:after="0"/>
        <w:jc w:val="left"/>
        <w:rPr>
          <w:rFonts w:ascii="Times New Roman" w:hAnsi="Times New Roman"/>
          <w:sz w:val="20"/>
        </w:rPr>
      </w:pPr>
      <w:r>
        <w:rPr>
          <w:rFonts w:ascii="Times New Roman" w:hAnsi="Times New Roman"/>
          <w:b/>
          <w:sz w:val="20"/>
        </w:rPr>
        <w:t>Richmond, VA, August</w:t>
      </w:r>
      <w:r>
        <w:rPr>
          <w:rFonts w:ascii="Times New Roman" w:hAnsi="Times New Roman"/>
          <w:sz w:val="20"/>
        </w:rPr>
        <w:t> </w:t>
      </w:r>
      <w:r>
        <w:rPr>
          <w:rFonts w:ascii="Times New Roman" w:hAnsi="Times New Roman"/>
          <w:b/>
          <w:sz w:val="20"/>
        </w:rPr>
        <w:t xml:space="preserve">3, 2026 </w:t>
      </w:r>
      <w:r>
        <w:rPr>
          <w:rFonts w:ascii="Times New Roman" w:hAnsi="Times New Roman"/>
          <w:sz w:val="20"/>
        </w:rPr>
        <w:t xml:space="preserve">– Indivior Pharmaceuticals, Inc. (Nasdaq: INDV) today reported its financial results for the second quarter ended June 30, 2026, and raised its full-year 2026 financial guidance. </w:t>
      </w:r>
    </w:p>
    <w:p>
      <w:pPr>
        <w:pStyle w:val="TextBody"/>
        <w:bidi w:val="0"/>
        <w:spacing w:before="240" w:after="0"/>
        <w:jc w:val="left"/>
        <w:rPr/>
      </w:pPr>
      <w:r>
        <w:rPr/>
        <w:t>“</w:t>
      </w:r>
      <w:r>
        <w:rPr>
          <w:rFonts w:ascii="Times New Roman" w:hAnsi="Times New Roman"/>
          <w:sz w:val="20"/>
        </w:rPr>
        <w:t xml:space="preserve">Exceptional operational execution in Phase II – Accelerate – of the Indivior Action Agenda fueled strong SUBLOCADE performance in the quarter and is the primary driver of our raised 2026 guidance,” said Joe Ciaffoni, Chief Executive Officer. “We remain focused on Phase II – Accelerate – for the remainder of 2026 and look forward to closing our proposed merger with Supernus, which is expected in the fourth quarter. Upon the close of our proposed merger, all three Phases of the Indivior Action Agenda will have been successfully completed.” </w:t>
      </w:r>
    </w:p>
    <w:p>
      <w:pPr>
        <w:pStyle w:val="TextBody"/>
        <w:bidi w:val="0"/>
        <w:spacing w:before="240" w:after="0"/>
        <w:jc w:val="left"/>
        <w:rPr/>
      </w:pPr>
      <w:r>
        <w:rPr/>
        <w:t>“</w:t>
      </w:r>
      <w:r>
        <w:rPr>
          <w:rFonts w:ascii="Times New Roman" w:hAnsi="Times New Roman"/>
          <w:sz w:val="20"/>
        </w:rPr>
        <w:t xml:space="preserve">We delivered record SUBLOCADE net revenue and adjusted EBITDA in the quarter leading us to raise our 2026 guidance,” said Ryan Preblick, Chief Financial Officer. “We now expect 2026 total SUBLOCADE net revenue growth of 20% year-over-year and adjusted EBITDA growth of 68% year-over-year at the midpoint of our guidance ranges. We returned capital to our shareholders through the repurchase of $175 million in shares during the quarter. We are committed to creating long-term shareholder value.” </w:t>
      </w:r>
    </w:p>
    <w:p>
      <w:pPr>
        <w:pStyle w:val="TextBody"/>
        <w:bidi w:val="0"/>
        <w:spacing w:before="360" w:after="0"/>
        <w:jc w:val="left"/>
        <w:rPr>
          <w:rFonts w:ascii="Times New Roman" w:hAnsi="Times New Roman"/>
          <w:b/>
          <w:sz w:val="20"/>
        </w:rPr>
      </w:pPr>
      <w:r>
        <w:rPr>
          <w:rFonts w:ascii="Times New Roman" w:hAnsi="Times New Roman"/>
          <w:b/>
          <w:sz w:val="20"/>
          <w:u w:val="single"/>
        </w:rPr>
        <w:t>Q2 2026 Business Highlights</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2026, over 545,000 patients in the U.S. have been prescribed SUBLOCADE since launch.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Grew total SUBLOCADE net revenue 21% year-over-year to $253 million. U.S. SUBLOCADE net revenue increased 22% year-over-year to $238 million versus the prior year, driven by 18% dispense unit volume growth. New patient starts of 32,816 were a record. Net revenue also benefited from more favorable price/mix and gross-to-net adjustments.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second quarter, Indivior repurchased 4,664,540 shares at an average price of $37.52 for a total of $175 million. Year-to-date, the Company has repurchased 8,638,693 shares at an average price of $34.73 for a total of $300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Announced findings from two new real-world evidence studies showing that adherence to SUBLOCADE is associated with lower relapse risk, fewer infection-related complications, and reduced healthcare utilization among people living with opioid use disorder (OUD).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Indivior Pharmaceuticals, Inc. and Supernus Pharmaceuticals, Inc. today announced a definitive agreement to combine in an all-stock merger of equals transaction to create a leading, diversified, scaled, CNS-focused biopharmaceutical company. For additional information on the transaction, please reference the announcement press release at Indivior.com.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Raising Full-Year 2026 Financial Guidance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Full-year financial guidance assumes no material change in exchange rates for key currencies compared with 2025 average rates, notably USD/GBP and USD/EUR.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323"/>
        <w:gridCol w:w="123"/>
        <w:gridCol w:w="3101"/>
        <w:gridCol w:w="123"/>
        <w:gridCol w:w="3085"/>
      </w:tblGrid>
      <w:tr>
        <w:trPr/>
        <w:tc>
          <w:tcPr>
            <w:tcW w:w="132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0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r>
      <w:tr>
        <w:trPr/>
        <w:tc>
          <w:tcPr>
            <w:tcW w:w="132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3101" w:type="dxa"/>
            <w:tcBorders>
              <w:bottom w:val="single" w:sz="8" w:space="0" w:color="000000"/>
            </w:tcBorders>
            <w:tcMar>
              <w:bottom w:w="28" w:type="dxa"/>
            </w:tcMar>
            <w:vAlign w:val="bottom"/>
          </w:tcPr>
          <w:p>
            <w:pPr>
              <w:pStyle w:val="TableContents"/>
              <w:bidi w:val="0"/>
              <w:spacing w:before="0" w:after="283"/>
              <w:jc w:val="center"/>
              <w:rPr>
                <w:b/>
              </w:rPr>
            </w:pPr>
            <w:r>
              <w:rPr>
                <w:b/>
              </w:rPr>
              <w:t>Prior FY 2026 Guidance (4/30/2026)</w:t>
            </w:r>
          </w:p>
        </w:tc>
        <w:tc>
          <w:tcPr>
            <w:tcW w:w="123" w:type="dxa"/>
            <w:tcBorders/>
            <w:vAlign w:val="bottom"/>
          </w:tcPr>
          <w:p>
            <w:pPr>
              <w:pStyle w:val="TableContents"/>
              <w:bidi w:val="0"/>
              <w:spacing w:before="0" w:after="283"/>
              <w:jc w:val="left"/>
              <w:rPr/>
            </w:pPr>
            <w:r>
              <w:rPr/>
              <w:t>  </w:t>
            </w:r>
          </w:p>
        </w:tc>
        <w:tc>
          <w:tcPr>
            <w:tcW w:w="3085" w:type="dxa"/>
            <w:tcBorders>
              <w:bottom w:val="single" w:sz="8" w:space="0" w:color="000000"/>
            </w:tcBorders>
            <w:tcMar>
              <w:bottom w:w="28" w:type="dxa"/>
            </w:tcMar>
            <w:vAlign w:val="bottom"/>
          </w:tcPr>
          <w:p>
            <w:pPr>
              <w:pStyle w:val="TableContents"/>
              <w:bidi w:val="0"/>
              <w:spacing w:before="0" w:after="283"/>
              <w:jc w:val="center"/>
              <w:rPr>
                <w:b/>
              </w:rPr>
            </w:pPr>
            <w:r>
              <w:rPr>
                <w:b/>
              </w:rPr>
              <w:t>Revised FY 2026 Guidance</w:t>
            </w:r>
          </w:p>
        </w:tc>
      </w:tr>
      <w:tr>
        <w:trPr/>
        <w:tc>
          <w:tcPr>
            <w:tcW w:w="132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Revenue</w:t>
            </w:r>
          </w:p>
        </w:tc>
        <w:tc>
          <w:tcPr>
            <w:tcW w:w="123" w:type="dxa"/>
            <w:tcBorders/>
            <w:shd w:fill="CCEEFF" w:val="clear"/>
            <w:vAlign w:val="bottom"/>
          </w:tcPr>
          <w:p>
            <w:pPr>
              <w:pStyle w:val="TableContents"/>
              <w:bidi w:val="0"/>
              <w:spacing w:before="0" w:after="283"/>
              <w:jc w:val="left"/>
              <w:rPr/>
            </w:pPr>
            <w:r>
              <w:rPr/>
              <w:t>  </w:t>
            </w:r>
          </w:p>
        </w:tc>
        <w:tc>
          <w:tcPr>
            <w:tcW w:w="3101" w:type="dxa"/>
            <w:tcBorders/>
            <w:shd w:fill="CCEEFF" w:val="clear"/>
            <w:vAlign w:val="bottom"/>
          </w:tcPr>
          <w:p>
            <w:pPr>
              <w:pStyle w:val="TableContents"/>
              <w:bidi w:val="0"/>
              <w:spacing w:before="0" w:after="283"/>
              <w:jc w:val="center"/>
              <w:rPr/>
            </w:pPr>
            <w:r>
              <w:rPr/>
              <w:t>$1,215 million to $1,285 million</w:t>
            </w:r>
          </w:p>
        </w:tc>
        <w:tc>
          <w:tcPr>
            <w:tcW w:w="123" w:type="dxa"/>
            <w:tcBorders/>
            <w:shd w:fill="CCEEFF" w:val="clear"/>
            <w:vAlign w:val="bottom"/>
          </w:tcPr>
          <w:p>
            <w:pPr>
              <w:pStyle w:val="TableContents"/>
              <w:bidi w:val="0"/>
              <w:spacing w:before="0" w:after="283"/>
              <w:jc w:val="left"/>
              <w:rPr/>
            </w:pPr>
            <w:r>
              <w:rPr/>
              <w:t>  </w:t>
            </w:r>
          </w:p>
        </w:tc>
        <w:tc>
          <w:tcPr>
            <w:tcW w:w="3085" w:type="dxa"/>
            <w:tcBorders/>
            <w:shd w:fill="CCEEFF" w:val="clear"/>
            <w:vAlign w:val="bottom"/>
          </w:tcPr>
          <w:p>
            <w:pPr>
              <w:pStyle w:val="TableContents"/>
              <w:bidi w:val="0"/>
              <w:spacing w:before="0" w:after="283"/>
              <w:jc w:val="center"/>
              <w:rPr/>
            </w:pPr>
            <w:r>
              <w:rPr/>
              <w:t>$1,295 million to $1,365 million</w:t>
            </w:r>
          </w:p>
        </w:tc>
      </w:tr>
      <w:tr>
        <w:trPr/>
        <w:tc>
          <w:tcPr>
            <w:tcW w:w="132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SUBLOCADE Net Revenue</w:t>
            </w:r>
          </w:p>
        </w:tc>
        <w:tc>
          <w:tcPr>
            <w:tcW w:w="123" w:type="dxa"/>
            <w:tcBorders/>
            <w:vAlign w:val="bottom"/>
          </w:tcPr>
          <w:p>
            <w:pPr>
              <w:pStyle w:val="TableContents"/>
              <w:bidi w:val="0"/>
              <w:spacing w:before="0" w:after="283"/>
              <w:jc w:val="left"/>
              <w:rPr/>
            </w:pPr>
            <w:r>
              <w:rPr/>
              <w:t>  </w:t>
            </w:r>
          </w:p>
        </w:tc>
        <w:tc>
          <w:tcPr>
            <w:tcW w:w="3101" w:type="dxa"/>
            <w:tcBorders/>
            <w:vAlign w:val="bottom"/>
          </w:tcPr>
          <w:p>
            <w:pPr>
              <w:pStyle w:val="TableContents"/>
              <w:bidi w:val="0"/>
              <w:spacing w:before="0" w:after="283"/>
              <w:jc w:val="center"/>
              <w:rPr/>
            </w:pPr>
            <w:r>
              <w:rPr/>
              <w:t>$950 million to $990 million</w:t>
            </w:r>
          </w:p>
        </w:tc>
        <w:tc>
          <w:tcPr>
            <w:tcW w:w="123" w:type="dxa"/>
            <w:tcBorders/>
            <w:vAlign w:val="bottom"/>
          </w:tcPr>
          <w:p>
            <w:pPr>
              <w:pStyle w:val="TableContents"/>
              <w:bidi w:val="0"/>
              <w:spacing w:before="0" w:after="283"/>
              <w:jc w:val="left"/>
              <w:rPr/>
            </w:pPr>
            <w:r>
              <w:rPr/>
              <w:t>  </w:t>
            </w:r>
          </w:p>
        </w:tc>
        <w:tc>
          <w:tcPr>
            <w:tcW w:w="3085" w:type="dxa"/>
            <w:tcBorders/>
            <w:vAlign w:val="bottom"/>
          </w:tcPr>
          <w:p>
            <w:pPr>
              <w:pStyle w:val="TableContents"/>
              <w:bidi w:val="0"/>
              <w:spacing w:before="0" w:after="283"/>
              <w:jc w:val="center"/>
              <w:rPr/>
            </w:pPr>
            <w:r>
              <w:rPr/>
              <w:t>$1,010 million to $1,050 million</w:t>
            </w:r>
          </w:p>
        </w:tc>
      </w:tr>
      <w:tr>
        <w:trPr/>
        <w:tc>
          <w:tcPr>
            <w:tcW w:w="132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Operating Expenses*</w:t>
            </w:r>
          </w:p>
        </w:tc>
        <w:tc>
          <w:tcPr>
            <w:tcW w:w="123" w:type="dxa"/>
            <w:tcBorders/>
            <w:shd w:fill="CCEEFF" w:val="clear"/>
            <w:vAlign w:val="bottom"/>
          </w:tcPr>
          <w:p>
            <w:pPr>
              <w:pStyle w:val="TableContents"/>
              <w:bidi w:val="0"/>
              <w:spacing w:before="0" w:after="283"/>
              <w:jc w:val="left"/>
              <w:rPr/>
            </w:pPr>
            <w:r>
              <w:rPr/>
              <w:t>  </w:t>
            </w:r>
          </w:p>
        </w:tc>
        <w:tc>
          <w:tcPr>
            <w:tcW w:w="3101" w:type="dxa"/>
            <w:tcBorders/>
            <w:shd w:fill="CCEEFF" w:val="clear"/>
            <w:vAlign w:val="bottom"/>
          </w:tcPr>
          <w:p>
            <w:pPr>
              <w:pStyle w:val="TableContents"/>
              <w:bidi w:val="0"/>
              <w:spacing w:before="0" w:after="283"/>
              <w:jc w:val="center"/>
              <w:rPr/>
            </w:pPr>
            <w:r>
              <w:rPr/>
              <w:t>$430 million to $450 million</w:t>
            </w:r>
          </w:p>
        </w:tc>
        <w:tc>
          <w:tcPr>
            <w:tcW w:w="123" w:type="dxa"/>
            <w:tcBorders/>
            <w:shd w:fill="CCEEFF" w:val="clear"/>
            <w:vAlign w:val="bottom"/>
          </w:tcPr>
          <w:p>
            <w:pPr>
              <w:pStyle w:val="TableContents"/>
              <w:bidi w:val="0"/>
              <w:spacing w:before="0" w:after="283"/>
              <w:jc w:val="left"/>
              <w:rPr/>
            </w:pPr>
            <w:r>
              <w:rPr/>
              <w:t>  </w:t>
            </w:r>
          </w:p>
        </w:tc>
        <w:tc>
          <w:tcPr>
            <w:tcW w:w="3085" w:type="dxa"/>
            <w:tcBorders/>
            <w:shd w:fill="CCEEFF" w:val="clear"/>
            <w:vAlign w:val="bottom"/>
          </w:tcPr>
          <w:p>
            <w:pPr>
              <w:pStyle w:val="TableContents"/>
              <w:bidi w:val="0"/>
              <w:spacing w:before="0" w:after="283"/>
              <w:jc w:val="center"/>
              <w:rPr/>
            </w:pPr>
            <w:r>
              <w:rPr/>
              <w:t>$430 million to $450 million</w:t>
            </w:r>
          </w:p>
        </w:tc>
      </w:tr>
      <w:tr>
        <w:trPr/>
        <w:tc>
          <w:tcPr>
            <w:tcW w:w="132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23" w:type="dxa"/>
            <w:tcBorders/>
            <w:vAlign w:val="bottom"/>
          </w:tcPr>
          <w:p>
            <w:pPr>
              <w:pStyle w:val="TableContents"/>
              <w:bidi w:val="0"/>
              <w:spacing w:before="0" w:after="283"/>
              <w:jc w:val="left"/>
              <w:rPr/>
            </w:pPr>
            <w:r>
              <w:rPr/>
              <w:t>  </w:t>
            </w:r>
          </w:p>
        </w:tc>
        <w:tc>
          <w:tcPr>
            <w:tcW w:w="3101" w:type="dxa"/>
            <w:tcBorders/>
            <w:vAlign w:val="bottom"/>
          </w:tcPr>
          <w:p>
            <w:pPr>
              <w:pStyle w:val="TableContents"/>
              <w:bidi w:val="0"/>
              <w:spacing w:before="0" w:after="283"/>
              <w:jc w:val="center"/>
              <w:rPr/>
            </w:pPr>
            <w:r>
              <w:rPr/>
              <w:t>$620 million to $660 million</w:t>
            </w:r>
          </w:p>
        </w:tc>
        <w:tc>
          <w:tcPr>
            <w:tcW w:w="123" w:type="dxa"/>
            <w:tcBorders/>
            <w:vAlign w:val="bottom"/>
          </w:tcPr>
          <w:p>
            <w:pPr>
              <w:pStyle w:val="TableContents"/>
              <w:bidi w:val="0"/>
              <w:spacing w:before="0" w:after="283"/>
              <w:jc w:val="left"/>
              <w:rPr/>
            </w:pPr>
            <w:r>
              <w:rPr/>
              <w:t>  </w:t>
            </w:r>
          </w:p>
        </w:tc>
        <w:tc>
          <w:tcPr>
            <w:tcW w:w="3085" w:type="dxa"/>
            <w:tcBorders/>
            <w:vAlign w:val="bottom"/>
          </w:tcPr>
          <w:p>
            <w:pPr>
              <w:pStyle w:val="TableContents"/>
              <w:bidi w:val="0"/>
              <w:spacing w:before="0" w:after="283"/>
              <w:jc w:val="center"/>
              <w:rPr/>
            </w:pPr>
            <w:r>
              <w:rPr/>
              <w:t>$700 million to $740 million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not provided the forward-looking U.S. GAAP equivalents for certain forward-looking non-U.S. GAAP metrics as a result of the uncertainty and potential variability of reconciling items. Accordingly, the Company has relied upon the exception in Item 10(e)(1)(i)(B) of Regulation S-K to exclude such reconciliations, as the reconciliations of these non-U.S. GAAP guidance metrics to their corresponding U.S. GAAP equivalents are not available without unreasonable effort.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u w:val="single"/>
        </w:rPr>
        <w:t>Financial Results for Quarter Ended June 30, 2026</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net revenue was $343 million for the quarter ended June 30, 2026 (the 2026 quarter), compared to $302 million for the quarter ended June 30, 2025 (the 2025 quarter), representing a 14% increase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SUBLOCADE net revenue was $253 million for the 2026 quarter, compared to $209 million for the 2025 quarter, representing a 21% increase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operating expenses were $134 million for the 2026 quarter, compared to $179 million for the 2025 quarter, representing a 25% decrease year-over-year. Non-GAAP operating expenses, which exclude stock-based compensation expense and other adjustments to reflect changes that occur in our business but do not represent ongoing operations, were $112 million for the 2026 quarter, compared to $167 million for the 2025 quarter, representing a 33% decrease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net income for the 2026 quarter was $122 million ($0.98 diluted earnings per share), compared to GAAP net income for the 2025 quarter of $18 million ($0.14 diluted earnings per share). Non-GAAP net income for the 2026 quarter was $142 million ($1.15 diluted earnings per share), compared to non-GAAP net income for the 2025 quarter of $64 million ($0.51 diluted earnings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for the 2026 quarter was $186 million, compared to $88 million for the 2025 quarter, representing a 111% increase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ended the 2026 quarter with cash and investments of $249 million.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Financial Results for Six Months Ended June 30, 2026</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net revenue was $660 million for the six months ended June 30, 2026 (the 2026 period), compared to $568 million for the six months ended June 30, 2025 (the 2025 period), representing a 16% increase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SUBLOCADE net revenue was $486 million for the 2026 period, compared to $385 million for the 2025 period, representing a 26% increase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operating expenses were $273 million for the 2026 period, compared to $334 million for the 2025 period, representing an 18% decrease year-over-year. Non-GAAP operating expenses, which exclude stock-based compensation expense and other adjustments to reflect changes that occur in our business but do not represent ongoing operations, were $229 million for the 2026 period, compared to $313 million for the 2025 period, representing a 27% decrease year-over-year.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net income for the 2026 period was $211 million ($1.67 diluted earnings per share), compared to GAAP net income for the 2025 period of $65 million ($0.52 diluted earnings per share). Non-GAAP net income for the 2026 period was $266 million ($2.10 diluted earnings per share), compared to non-GAAP net income for the 2025 period of $121 million ($0.96 diluted earnings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for the 2026 period was $350 million, compared to $165 million for the 2025 period, representing a 112% increase year-over-year.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Conference Call and Webcast Details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transaction announcement today, Indivior will host a joint transaction conference call with Supernus in lieu of its previously scheduled second quarter 2026 earnings conference call. </w:t>
      </w:r>
    </w:p>
    <w:p>
      <w:pPr>
        <w:pStyle w:val="TextBody"/>
        <w:bidi w:val="0"/>
        <w:spacing w:before="240" w:after="0"/>
        <w:jc w:val="left"/>
        <w:rPr>
          <w:rFonts w:ascii="Times New Roman" w:hAnsi="Times New Roman"/>
          <w:sz w:val="20"/>
        </w:rPr>
      </w:pPr>
      <w:r>
        <w:rPr>
          <w:rFonts w:ascii="Times New Roman" w:hAnsi="Times New Roman"/>
          <w:sz w:val="20"/>
        </w:rPr>
        <w:t xml:space="preserve">A live webcast will be available </w:t>
      </w:r>
      <w:r>
        <w:rPr>
          <w:rFonts w:ascii="Times New Roman" w:hAnsi="Times New Roman"/>
          <w:b/>
          <w:sz w:val="20"/>
          <w:u w:val="single"/>
        </w:rPr>
        <w:t>here</w:t>
      </w:r>
      <w:r>
        <w:rPr>
          <w:rFonts w:ascii="Times New Roman" w:hAnsi="Times New Roman"/>
          <w:sz w:val="20"/>
        </w:rPr>
        <w:t xml:space="preserve"> or from the Investor Relations section of both companies’ website at </w:t>
      </w:r>
      <w:r>
        <w:rPr>
          <w:rFonts w:ascii="Times New Roman" w:hAnsi="Times New Roman"/>
          <w:sz w:val="20"/>
          <w:u w:val="single"/>
        </w:rPr>
        <w:t>Supernus Events &amp; Presentations</w:t>
      </w:r>
      <w:r>
        <w:rPr>
          <w:rFonts w:ascii="Times New Roman" w:hAnsi="Times New Roman"/>
          <w:sz w:val="20"/>
        </w:rPr>
        <w:t xml:space="preserve"> and </w:t>
      </w:r>
      <w:r>
        <w:rPr>
          <w:rFonts w:ascii="Times New Roman" w:hAnsi="Times New Roman"/>
          <w:sz w:val="20"/>
          <w:u w:val="single"/>
        </w:rPr>
        <w:t>www.indivior.com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Participants may also pre-register any time before the call </w:t>
      </w:r>
      <w:r>
        <w:rPr>
          <w:rFonts w:ascii="Times New Roman" w:hAnsi="Times New Roman"/>
          <w:b/>
          <w:sz w:val="20"/>
          <w:u w:val="single"/>
        </w:rPr>
        <w:t>here</w:t>
      </w:r>
      <w:r>
        <w:rPr>
          <w:rFonts w:ascii="Times New Roman" w:hAnsi="Times New Roman"/>
          <w:sz w:val="20"/>
        </w:rPr>
        <w:t xml:space="preserve">. Once registration is completed, participants will be provided a dial-in number with a personalized conference code to access the call. Please dial in 15 minutes prior to the start time. </w:t>
      </w:r>
    </w:p>
    <w:p>
      <w:pPr>
        <w:pStyle w:val="TextBody"/>
        <w:bidi w:val="0"/>
        <w:spacing w:before="240" w:after="0"/>
        <w:jc w:val="left"/>
        <w:rPr>
          <w:rFonts w:ascii="Times New Roman" w:hAnsi="Times New Roman"/>
          <w:sz w:val="20"/>
        </w:rPr>
      </w:pPr>
      <w:r>
        <w:rPr>
          <w:rFonts w:ascii="Times New Roman" w:hAnsi="Times New Roman"/>
          <w:sz w:val="20"/>
        </w:rPr>
        <w:t xml:space="preserve">A replay of the webcast will be available following the event. </w:t>
      </w:r>
    </w:p>
    <w:p>
      <w:pPr>
        <w:pStyle w:val="TextBody"/>
        <w:bidi w:val="0"/>
        <w:spacing w:before="240" w:after="0"/>
        <w:jc w:val="left"/>
        <w:rPr>
          <w:rFonts w:ascii="Times New Roman" w:hAnsi="Times New Roman"/>
          <w:sz w:val="20"/>
        </w:rPr>
      </w:pPr>
      <w:r>
        <w:rPr>
          <w:rFonts w:ascii="Times New Roman" w:hAnsi="Times New Roman"/>
          <w:sz w:val="20"/>
        </w:rPr>
        <w:t xml:space="preserve">An investor presentation, which will be referenced during the webcast, is also available from the Investor Relations section of both companies’ websites.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About Indivior </w:t>
      </w:r>
    </w:p>
    <w:p>
      <w:pPr>
        <w:pStyle w:val="TextBody"/>
        <w:bidi w:val="0"/>
        <w:spacing w:before="120" w:after="0"/>
        <w:jc w:val="left"/>
        <w:rPr>
          <w:rFonts w:ascii="Times New Roman" w:hAnsi="Times New Roman"/>
          <w:sz w:val="20"/>
        </w:rPr>
      </w:pPr>
      <w:r>
        <w:rPr>
          <w:rFonts w:ascii="Times New Roman" w:hAnsi="Times New Roman"/>
          <w:sz w:val="20"/>
        </w:rPr>
        <w:t xml:space="preserve">As the leader in long-acting injectable treatments for opioid use disorder (OUD), Indivior is singularly focused on delivering evidence-based treatment and advancing understanding of OUD as a chronic but treatable brain disease. For more than 25 years, we have revolutionized the science of addiction medicine — developing treatments that help people move toward long-term recovery with independence and dignity. Building on this heritage, we are ushering in a new era, renewing our commitment to individuals living with OUD and carrying forward what matters most: compassion, integrity, and science. Together – with science, people living with OUD, public health champions, and communities, we are powering recovery and renewing hope. Visit www.indivior.com to learn more. Connect with Indivior on LinkedIn by visiting www.linkedin.com/company/Indivior. </w:t>
      </w:r>
    </w:p>
    <w:p>
      <w:pPr>
        <w:pStyle w:val="TextBody"/>
        <w:bidi w:val="0"/>
        <w:spacing w:before="240" w:after="0"/>
        <w:jc w:val="left"/>
        <w:rPr>
          <w:rFonts w:ascii="Times New Roman" w:hAnsi="Times New Roman"/>
          <w:sz w:val="20"/>
        </w:rPr>
      </w:pPr>
      <w:r>
        <w:rPr>
          <w:rFonts w:ascii="Times New Roman" w:hAnsi="Times New Roman"/>
          <w:sz w:val="20"/>
        </w:rPr>
        <w:t xml:space="preserve">Columns and rows within financial tables may not foot due to rounding. Percentages and per share data in the financial tables have been calculated using actual, non-rounded figures. </w:t>
      </w:r>
    </w:p>
    <w:p>
      <w:pPr>
        <w:pStyle w:val="TextBody"/>
        <w:bidi w:val="0"/>
        <w:spacing w:before="360" w:after="0"/>
        <w:jc w:val="left"/>
        <w:rPr>
          <w:rFonts w:ascii="Times New Roman" w:hAnsi="Times New Roman"/>
          <w:b/>
          <w:sz w:val="20"/>
        </w:rPr>
      </w:pPr>
      <w:r>
        <w:rPr>
          <w:rFonts w:ascii="Times New Roman" w:hAnsi="Times New Roman"/>
          <w:b/>
          <w:sz w:val="20"/>
          <w:u w:val="single"/>
        </w:rPr>
        <w:t>Non-GAAP Financial Measures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Non-GAAP financial measures adjust for non-recurring items and other items representing expenses or income that we believe do not reflect the Company’s ongoing operations or the adjustment of which may help with the comparison to prior periods. The Company believes its non-GAAP financial measures may be useful to investors to understand the Company’s performance. In addition, the Company uses “Adjusted EBITDA” in its annual incentive plan in which all executive officers participate. </w:t>
      </w:r>
    </w:p>
    <w:p>
      <w:pPr>
        <w:pStyle w:val="TextBody"/>
        <w:bidi w:val="0"/>
        <w:spacing w:before="360" w:after="0"/>
        <w:jc w:val="left"/>
        <w:rPr>
          <w:rFonts w:ascii="Times New Roman" w:hAnsi="Times New Roman"/>
          <w:b/>
          <w:sz w:val="20"/>
        </w:rPr>
      </w:pPr>
      <w:r>
        <w:rPr>
          <w:rFonts w:ascii="Times New Roman" w:hAnsi="Times New Roman"/>
          <w:b/>
          <w:sz w:val="20"/>
          <w:u w:val="single"/>
        </w:rPr>
        <w:t>Important Cautionary Note Regarding Forward-Looking Statements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certain statements that are forward-looking statements. All statements other than statements of historical fact are forward-looking statements. Forward-looking statements include, among other things, express and implied statements regarding: our 2026 financial guidance including with respect to net revenue, total SUBLOCADE net revenue, non-GAAP operating expenses, and adjusted EBITDA; potential business development opportunities to acquire the next commercial stage growth drivers; potential expense reductions; expected acceleration in SUBLOCADE net revenue and dispense unit growth; expected growth in adjusted EBITDA, cash flow, and our bottom line, and expected acceleration of such growth; potential future share repurchases; expected creation of shareholder value; anticipated benefits of the proposed merger with Supernus, the expected timing of completion of the proposed merger, estimated costs associated with the proposed merger, and other statements containing the words “believe,” “anticipate,” “plan,” “expect,” “intend,” “estimate,” “forecast,” “strategy,” “target,” “guidance,” “outlook,” “potential,” “project,” “priority,” “may,” “will,” “should,” “would,” “could,” “can,” the negatives thereof, and variations thereon and similar expressions. By their nature, forward-looking statements involve risks and uncertainties as they relate to events or circumstances that may or may not occur in the future.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cautioned that any such forward-looking statements are not guarantees of future performance and only express management’s beliefs regarding future results or events which, by their nature, are inherently uncertain and outside of management’s control or ability to predict. Actual results may differ materially from those expressed or implied in these forward-looking statements due to a number of factors, including but not limited to: lower than expected future sales of our products; greater than expected impacts from competition; and unanticipated costs including the effects of potential tariffs and potential retaliatory tariffs; market conditions; the decisions of third parties outside of our control with respect to potential business development opportunities; the risk that the proposed merger with Supernus may not be completed on the anticipated timeline or at all; the failure to obtain required stockholder or regulatory approvals for the merger, or the imposition of conditions in connection with such approvals; the restrictions during the pendency of the transaction that may limit the parties’ ability to pursue business opportunities or strategic transactions; the risk that the anticipated benefits, synergies, growth, profitability, cash flow generation and earnings accretion of the merger are not realized or are realized more slowly than expected; and the difficulties, costs and risks relating to the integration of the two businesses. For additional information about some of the risks and important factors that could affect our future results and financial condition, see “Important Cautionary Note Regarding Forward-looking Statements” and “Risk Factors” in Indivior’s Annual Report on Form 10-K filed February 26, 2026, and our other filings with the U.S.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We have based the forward-looking statements in this report on our current expectations and beliefs concerning future events. Forward-looking statements contained in this report speak only as of the day they are made and, except as required by law, we undertake no obligation to update or revise any forward-looking statement, whether due to new information, or to reflect events or developments that occur after the date the statement was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t>
      </w:r>
      <w:r>
        <w:rPr>
          <w:rFonts w:ascii="Times New Roman" w:hAnsi="Times New Roman"/>
          <w:sz w:val="20"/>
          <w:u w:val="single"/>
        </w:rPr>
        <w:t>www.sec.gov</w:t>
      </w:r>
      <w:r>
        <w:rPr>
          <w:rFonts w:ascii="Times New Roman" w:hAnsi="Times New Roman"/>
          <w:sz w:val="20"/>
        </w:rPr>
        <w:t xml:space="preserve">. Copies of the documents filed by Indivior with the SEC will be available free of charge on Indivior’s website at </w:t>
      </w:r>
      <w:r>
        <w:rPr>
          <w:rFonts w:ascii="Times New Roman" w:hAnsi="Times New Roman"/>
          <w:sz w:val="20"/>
          <w:u w:val="single"/>
        </w:rPr>
        <w:t>www.indivior.com</w:t>
      </w:r>
      <w:r>
        <w:rPr>
          <w:rFonts w:ascii="Times New Roman" w:hAnsi="Times New Roman"/>
          <w:sz w:val="20"/>
        </w:rPr>
        <w:t xml:space="preserve"> or by contacting Indivior’s Investor Relations at </w:t>
      </w:r>
      <w:r>
        <w:rPr>
          <w:rFonts w:ascii="Times New Roman" w:hAnsi="Times New Roman"/>
          <w:sz w:val="20"/>
          <w:u w:val="single"/>
        </w:rPr>
        <w:t>InvestorRelations@indivior.com</w:t>
      </w:r>
      <w:r>
        <w:rPr>
          <w:rFonts w:ascii="Times New Roman" w:hAnsi="Times New Roman"/>
          <w:sz w:val="20"/>
        </w:rPr>
        <w:t xml:space="preserve">. Copies of the documents filed by Supernus with the SEC will be available free of charge on Supernus’ website at </w:t>
      </w:r>
      <w:r>
        <w:rPr>
          <w:rFonts w:ascii="Times New Roman" w:hAnsi="Times New Roman"/>
          <w:sz w:val="20"/>
          <w:u w:val="single"/>
        </w:rPr>
        <w:t>www.supernus.com</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 Further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56"/>
        <w:gridCol w:w="132"/>
        <w:gridCol w:w="2275"/>
        <w:gridCol w:w="132"/>
        <w:gridCol w:w="2072"/>
        <w:gridCol w:w="132"/>
        <w:gridCol w:w="3106"/>
      </w:tblGrid>
      <w:tr>
        <w:trPr/>
        <w:tc>
          <w:tcPr>
            <w:tcW w:w="2356"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r>
      <w:tr>
        <w:trPr/>
        <w:tc>
          <w:tcPr>
            <w:tcW w:w="2356" w:type="dxa"/>
            <w:tcBorders/>
          </w:tcPr>
          <w:p>
            <w:pPr>
              <w:pStyle w:val="TableContents"/>
              <w:bidi w:val="0"/>
              <w:spacing w:before="0" w:after="283"/>
              <w:jc w:val="left"/>
              <w:rPr>
                <w:b/>
              </w:rPr>
            </w:pPr>
            <w:r>
              <w:rPr>
                <w:b/>
              </w:rPr>
              <w:t>Investors</w:t>
            </w:r>
          </w:p>
        </w:tc>
        <w:tc>
          <w:tcPr>
            <w:tcW w:w="132" w:type="dxa"/>
            <w:tcBorders/>
            <w:vAlign w:val="bottom"/>
          </w:tcPr>
          <w:p>
            <w:pPr>
              <w:pStyle w:val="TableContents"/>
              <w:bidi w:val="0"/>
              <w:spacing w:before="0" w:after="283"/>
              <w:jc w:val="left"/>
              <w:rPr/>
            </w:pPr>
            <w:r>
              <w:rPr/>
              <w:t>  </w:t>
            </w:r>
          </w:p>
        </w:tc>
        <w:tc>
          <w:tcPr>
            <w:tcW w:w="2275" w:type="dxa"/>
            <w:tcBorders/>
          </w:tcPr>
          <w:p>
            <w:pPr>
              <w:pStyle w:val="TableContents"/>
              <w:bidi w:val="0"/>
              <w:spacing w:before="0" w:after="283"/>
              <w:jc w:val="left"/>
              <w:rPr/>
            </w:pPr>
            <w:r>
              <w:rPr/>
              <w:t>Jason Thompson</w:t>
            </w:r>
          </w:p>
        </w:tc>
        <w:tc>
          <w:tcPr>
            <w:tcW w:w="132" w:type="dxa"/>
            <w:tcBorders/>
            <w:vAlign w:val="bottom"/>
          </w:tcPr>
          <w:p>
            <w:pPr>
              <w:pStyle w:val="TableContents"/>
              <w:bidi w:val="0"/>
              <w:spacing w:before="0" w:after="283"/>
              <w:jc w:val="left"/>
              <w:rPr/>
            </w:pPr>
            <w:r>
              <w:rPr/>
              <w:t>  </w:t>
            </w:r>
          </w:p>
        </w:tc>
        <w:tc>
          <w:tcPr>
            <w:tcW w:w="2072" w:type="dxa"/>
            <w:tcBorders/>
          </w:tcPr>
          <w:p>
            <w:pPr>
              <w:pStyle w:val="TableContents"/>
              <w:bidi w:val="0"/>
              <w:spacing w:before="0" w:after="283"/>
              <w:jc w:val="left"/>
              <w:rPr/>
            </w:pPr>
            <w:r>
              <w:rPr/>
              <w:t>VP, Investor Relations</w:t>
            </w:r>
          </w:p>
        </w:tc>
        <w:tc>
          <w:tcPr>
            <w:tcW w:w="132" w:type="dxa"/>
            <w:tcBorders/>
            <w:vAlign w:val="bottom"/>
          </w:tcPr>
          <w:p>
            <w:pPr>
              <w:pStyle w:val="TableContents"/>
              <w:bidi w:val="0"/>
              <w:spacing w:before="0" w:after="283"/>
              <w:jc w:val="left"/>
              <w:rPr/>
            </w:pPr>
            <w:r>
              <w:rPr/>
              <w:t>  </w:t>
            </w:r>
          </w:p>
        </w:tc>
        <w:tc>
          <w:tcPr>
            <w:tcW w:w="3106" w:type="dxa"/>
            <w:tcBorders/>
          </w:tcPr>
          <w:p>
            <w:pPr>
              <w:pStyle w:val="TableContents"/>
              <w:bidi w:val="0"/>
              <w:spacing w:before="0" w:after="0"/>
              <w:jc w:val="left"/>
              <w:rPr>
                <w:rFonts w:ascii="Times New Roman" w:hAnsi="Times New Roman"/>
                <w:sz w:val="20"/>
              </w:rPr>
            </w:pPr>
            <w:r>
              <w:rPr>
                <w:rFonts w:ascii="Times New Roman" w:hAnsi="Times New Roman"/>
                <w:sz w:val="20"/>
              </w:rPr>
              <w:t>+1 804 402 7123</w:t>
            </w:r>
          </w:p>
          <w:p>
            <w:pPr>
              <w:pStyle w:val="TableContents"/>
              <w:bidi w:val="0"/>
              <w:spacing w:before="0" w:after="20"/>
              <w:jc w:val="left"/>
              <w:rPr>
                <w:rFonts w:ascii="Times New Roman" w:hAnsi="Times New Roman"/>
                <w:sz w:val="20"/>
              </w:rPr>
            </w:pPr>
            <w:r>
              <w:rPr>
                <w:rFonts w:ascii="Times New Roman" w:hAnsi="Times New Roman"/>
                <w:sz w:val="20"/>
              </w:rPr>
              <w:t>jason.thompson@indivior.com</w:t>
            </w:r>
          </w:p>
        </w:tc>
      </w:tr>
      <w:tr>
        <w:trPr>
          <w:trHeight w:val="120" w:hRule="atLeast"/>
        </w:trPr>
        <w:tc>
          <w:tcPr>
            <w:tcW w:w="2356" w:type="dxa"/>
            <w:tcBorders/>
            <w:vAlign w:val="center"/>
          </w:tcPr>
          <w:p>
            <w:pPr>
              <w:pStyle w:val="TableContents"/>
              <w:bidi w:val="0"/>
              <w:spacing w:before="0" w:after="283"/>
              <w:jc w:val="left"/>
              <w:rPr>
                <w:sz w:val="4"/>
                <w:szCs w:val="4"/>
              </w:rPr>
            </w:pPr>
            <w:r>
              <w:rPr>
                <w:sz w:val="4"/>
                <w:szCs w:val="4"/>
              </w:rPr>
            </w:r>
          </w:p>
        </w:tc>
        <w:tc>
          <w:tcPr>
            <w:tcW w:w="2407" w:type="dxa"/>
            <w:gridSpan w:val="2"/>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c>
          <w:tcPr>
            <w:tcW w:w="3238" w:type="dxa"/>
            <w:gridSpan w:val="2"/>
            <w:tcBorders/>
            <w:vAlign w:val="center"/>
          </w:tcPr>
          <w:p>
            <w:pPr>
              <w:pStyle w:val="TableContents"/>
              <w:bidi w:val="0"/>
              <w:spacing w:before="0" w:after="283"/>
              <w:jc w:val="left"/>
              <w:rPr>
                <w:sz w:val="4"/>
                <w:szCs w:val="4"/>
              </w:rPr>
            </w:pPr>
            <w:r>
              <w:rPr>
                <w:sz w:val="4"/>
                <w:szCs w:val="4"/>
              </w:rPr>
            </w:r>
          </w:p>
        </w:tc>
      </w:tr>
      <w:tr>
        <w:trPr/>
        <w:tc>
          <w:tcPr>
            <w:tcW w:w="2356" w:type="dxa"/>
            <w:tcBorders/>
          </w:tcPr>
          <w:p>
            <w:pPr>
              <w:pStyle w:val="TableContents"/>
              <w:bidi w:val="0"/>
              <w:spacing w:before="0" w:after="283"/>
              <w:jc w:val="left"/>
              <w:rPr>
                <w:b/>
              </w:rPr>
            </w:pPr>
            <w:r>
              <w:rPr>
                <w:b/>
              </w:rPr>
              <w:t>Media</w:t>
            </w:r>
          </w:p>
        </w:tc>
        <w:tc>
          <w:tcPr>
            <w:tcW w:w="132" w:type="dxa"/>
            <w:tcBorders/>
            <w:vAlign w:val="bottom"/>
          </w:tcPr>
          <w:p>
            <w:pPr>
              <w:pStyle w:val="TableContents"/>
              <w:bidi w:val="0"/>
              <w:spacing w:before="0" w:after="283"/>
              <w:jc w:val="left"/>
              <w:rPr/>
            </w:pPr>
            <w:r>
              <w:rPr/>
              <w:t>  </w:t>
            </w:r>
          </w:p>
        </w:tc>
        <w:tc>
          <w:tcPr>
            <w:tcW w:w="2275" w:type="dxa"/>
            <w:tcBorders/>
          </w:tcPr>
          <w:p>
            <w:pPr>
              <w:pStyle w:val="TableContents"/>
              <w:bidi w:val="0"/>
              <w:spacing w:before="0" w:after="283"/>
              <w:jc w:val="left"/>
              <w:rPr/>
            </w:pPr>
            <w:r>
              <w:rPr/>
              <w:t>Cassie France-Kelly</w:t>
            </w:r>
          </w:p>
        </w:tc>
        <w:tc>
          <w:tcPr>
            <w:tcW w:w="132" w:type="dxa"/>
            <w:tcBorders/>
            <w:vAlign w:val="bottom"/>
          </w:tcPr>
          <w:p>
            <w:pPr>
              <w:pStyle w:val="TableContents"/>
              <w:bidi w:val="0"/>
              <w:spacing w:before="0" w:after="283"/>
              <w:jc w:val="left"/>
              <w:rPr/>
            </w:pPr>
            <w:r>
              <w:rPr/>
              <w:t>  </w:t>
            </w:r>
          </w:p>
        </w:tc>
        <w:tc>
          <w:tcPr>
            <w:tcW w:w="2072" w:type="dxa"/>
            <w:tcBorders/>
          </w:tcPr>
          <w:p>
            <w:pPr>
              <w:pStyle w:val="TableContents"/>
              <w:bidi w:val="0"/>
              <w:spacing w:before="0" w:after="283"/>
              <w:jc w:val="left"/>
              <w:rPr/>
            </w:pPr>
            <w:r>
              <w:rPr/>
              <w:t>VP, Communications</w:t>
            </w:r>
          </w:p>
        </w:tc>
        <w:tc>
          <w:tcPr>
            <w:tcW w:w="132" w:type="dxa"/>
            <w:tcBorders/>
            <w:vAlign w:val="bottom"/>
          </w:tcPr>
          <w:p>
            <w:pPr>
              <w:pStyle w:val="TableContents"/>
              <w:bidi w:val="0"/>
              <w:spacing w:before="0" w:after="283"/>
              <w:jc w:val="left"/>
              <w:rPr/>
            </w:pPr>
            <w:r>
              <w:rPr/>
              <w:t>  </w:t>
            </w:r>
          </w:p>
        </w:tc>
        <w:tc>
          <w:tcPr>
            <w:tcW w:w="3106" w:type="dxa"/>
            <w:tcBorders/>
          </w:tcPr>
          <w:p>
            <w:pPr>
              <w:pStyle w:val="TableContents"/>
              <w:bidi w:val="0"/>
              <w:spacing w:before="0" w:after="0"/>
              <w:jc w:val="left"/>
              <w:rPr>
                <w:rFonts w:ascii="Times New Roman" w:hAnsi="Times New Roman"/>
                <w:sz w:val="20"/>
              </w:rPr>
            </w:pPr>
            <w:r>
              <w:rPr>
                <w:rFonts w:ascii="Times New Roman" w:hAnsi="Times New Roman"/>
                <w:sz w:val="20"/>
              </w:rPr>
              <w:t>+1 804 594 0836</w:t>
            </w:r>
          </w:p>
          <w:p>
            <w:pPr>
              <w:pStyle w:val="TableContents"/>
              <w:bidi w:val="0"/>
              <w:spacing w:before="0" w:after="20"/>
              <w:jc w:val="left"/>
              <w:rPr>
                <w:rFonts w:ascii="Times New Roman" w:hAnsi="Times New Roman"/>
                <w:sz w:val="20"/>
              </w:rPr>
            </w:pPr>
            <w:r>
              <w:rPr>
                <w:rFonts w:ascii="Times New Roman" w:hAnsi="Times New Roman"/>
                <w:sz w:val="20"/>
              </w:rPr>
              <w:t>Indiviormediacontacts@indivior.com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Indivior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(Amounts in millions, except per share data and percentages)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8"/>
        <w:gridCol w:w="208"/>
        <w:gridCol w:w="312"/>
        <w:gridCol w:w="982"/>
        <w:gridCol w:w="345"/>
        <w:gridCol w:w="220"/>
        <w:gridCol w:w="312"/>
        <w:gridCol w:w="985"/>
        <w:gridCol w:w="155"/>
        <w:gridCol w:w="151"/>
        <w:gridCol w:w="281"/>
        <w:gridCol w:w="892"/>
        <w:gridCol w:w="310"/>
        <w:gridCol w:w="208"/>
        <w:gridCol w:w="281"/>
        <w:gridCol w:w="895"/>
        <w:gridCol w:w="160"/>
      </w:tblGrid>
      <w:tr>
        <w:trPr/>
        <w:tc>
          <w:tcPr>
            <w:tcW w:w="3508"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0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315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0" w:type="dxa"/>
            <w:tcBorders/>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1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35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revenue</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b/>
              </w:rPr>
            </w:pPr>
            <w:r>
              <w:rPr>
                <w:b/>
              </w:rPr>
              <w:t>$</w:t>
            </w:r>
          </w:p>
        </w:tc>
        <w:tc>
          <w:tcPr>
            <w:tcW w:w="982" w:type="dxa"/>
            <w:tcBorders/>
            <w:shd w:fill="CCEEFF" w:val="clear"/>
            <w:vAlign w:val="bottom"/>
          </w:tcPr>
          <w:p>
            <w:pPr>
              <w:pStyle w:val="TableContents"/>
              <w:bidi w:val="0"/>
              <w:spacing w:before="0" w:after="283"/>
              <w:jc w:val="right"/>
              <w:rPr>
                <w:b/>
              </w:rPr>
            </w:pPr>
            <w:r>
              <w:rPr>
                <w:b/>
              </w:rPr>
              <w:t>343</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b/>
              </w:rPr>
            </w:pPr>
            <w:r>
              <w:rPr>
                <w:b/>
              </w:rPr>
              <w:t>$</w:t>
            </w:r>
          </w:p>
        </w:tc>
        <w:tc>
          <w:tcPr>
            <w:tcW w:w="985" w:type="dxa"/>
            <w:tcBorders/>
            <w:shd w:fill="CCEEFF" w:val="clear"/>
            <w:vAlign w:val="bottom"/>
          </w:tcPr>
          <w:p>
            <w:pPr>
              <w:pStyle w:val="TableContents"/>
              <w:bidi w:val="0"/>
              <w:spacing w:before="0" w:after="283"/>
              <w:jc w:val="right"/>
              <w:rPr>
                <w:b/>
              </w:rPr>
            </w:pPr>
            <w:r>
              <w:rPr>
                <w:b/>
              </w:rPr>
              <w:t>302</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b/>
              </w:rPr>
            </w:pPr>
            <w:r>
              <w:rPr>
                <w:b/>
              </w:rPr>
              <w:t>$</w:t>
            </w:r>
          </w:p>
        </w:tc>
        <w:tc>
          <w:tcPr>
            <w:tcW w:w="892" w:type="dxa"/>
            <w:tcBorders/>
            <w:shd w:fill="CCEEFF" w:val="clear"/>
            <w:vAlign w:val="bottom"/>
          </w:tcPr>
          <w:p>
            <w:pPr>
              <w:pStyle w:val="TableContents"/>
              <w:bidi w:val="0"/>
              <w:spacing w:before="0" w:after="283"/>
              <w:jc w:val="right"/>
              <w:rPr>
                <w:b/>
              </w:rPr>
            </w:pPr>
            <w:r>
              <w:rPr>
                <w:b/>
              </w:rPr>
              <w:t>660</w:t>
            </w:r>
          </w:p>
        </w:tc>
        <w:tc>
          <w:tcPr>
            <w:tcW w:w="31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b/>
              </w:rPr>
            </w:pPr>
            <w:r>
              <w:rPr>
                <w:b/>
              </w:rPr>
              <w:t>$</w:t>
            </w:r>
          </w:p>
        </w:tc>
        <w:tc>
          <w:tcPr>
            <w:tcW w:w="895" w:type="dxa"/>
            <w:tcBorders/>
            <w:shd w:fill="CCEEFF" w:val="clear"/>
            <w:vAlign w:val="bottom"/>
          </w:tcPr>
          <w:p>
            <w:pPr>
              <w:pStyle w:val="TableContents"/>
              <w:bidi w:val="0"/>
              <w:spacing w:before="0" w:after="283"/>
              <w:jc w:val="right"/>
              <w:rPr>
                <w:b/>
              </w:rPr>
            </w:pPr>
            <w:r>
              <w:rPr>
                <w:b/>
              </w:rPr>
              <w:t>568</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50</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90</w:t>
            </w:r>
          </w:p>
        </w:tc>
        <w:tc>
          <w:tcPr>
            <w:tcW w:w="31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96</w:t>
            </w:r>
          </w:p>
        </w:tc>
        <w:tc>
          <w:tcPr>
            <w:tcW w:w="160" w:type="dxa"/>
            <w:tcBorders/>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31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b/>
              </w:rPr>
            </w:pPr>
            <w:r>
              <w:rPr>
                <w:b/>
              </w:rPr>
              <w:t>294</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b/>
              </w:rPr>
            </w:pPr>
            <w:r>
              <w:rPr>
                <w:b/>
              </w:rPr>
              <w:t>250</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b/>
              </w:rPr>
            </w:pPr>
            <w:r>
              <w:rPr>
                <w:b/>
              </w:rPr>
              <w:t>570</w:t>
            </w:r>
          </w:p>
        </w:tc>
        <w:tc>
          <w:tcPr>
            <w:tcW w:w="31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b/>
              </w:rPr>
            </w:pPr>
            <w:r>
              <w:rPr>
                <w:b/>
              </w:rPr>
              <w:t>472</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31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122</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158</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245</w:t>
            </w:r>
          </w:p>
        </w:tc>
        <w:tc>
          <w:tcPr>
            <w:tcW w:w="31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291</w:t>
            </w:r>
          </w:p>
        </w:tc>
        <w:tc>
          <w:tcPr>
            <w:tcW w:w="160" w:type="dxa"/>
            <w:tcBorders/>
            <w:vAlign w:val="bottom"/>
          </w:tcPr>
          <w:p>
            <w:pPr>
              <w:pStyle w:val="TableContents"/>
              <w:bidi w:val="0"/>
              <w:spacing w:before="0" w:after="283"/>
              <w:jc w:val="left"/>
              <w:rPr/>
            </w:pPr>
            <w:r>
              <w:rPr/>
              <w:t> </w:t>
            </w:r>
          </w:p>
        </w:tc>
      </w:tr>
      <w:tr>
        <w:trPr/>
        <w:tc>
          <w:tcPr>
            <w:tcW w:w="3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12</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28</w:t>
            </w:r>
          </w:p>
        </w:tc>
        <w:tc>
          <w:tcPr>
            <w:tcW w:w="31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43</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31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b/>
              </w:rPr>
            </w:pPr>
            <w:r>
              <w:rPr>
                <w:b/>
              </w:rPr>
              <w:t>134</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b/>
              </w:rPr>
            </w:pPr>
            <w:r>
              <w:rPr>
                <w:b/>
              </w:rPr>
              <w:t>179</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b/>
              </w:rPr>
            </w:pPr>
            <w:r>
              <w:rPr>
                <w:b/>
              </w:rPr>
              <w:t>273</w:t>
            </w:r>
          </w:p>
        </w:tc>
        <w:tc>
          <w:tcPr>
            <w:tcW w:w="31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b/>
              </w:rPr>
            </w:pPr>
            <w:r>
              <w:rPr>
                <w:b/>
              </w:rPr>
              <w:t>334</w:t>
            </w:r>
          </w:p>
        </w:tc>
        <w:tc>
          <w:tcPr>
            <w:tcW w:w="160" w:type="dxa"/>
            <w:tcBorders/>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31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b/>
              </w:rPr>
            </w:pPr>
            <w:r>
              <w:rPr>
                <w:b/>
              </w:rPr>
              <w:t>160</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b/>
              </w:rPr>
            </w:pPr>
            <w:r>
              <w:rPr>
                <w:b/>
              </w:rPr>
              <w:t>72</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b/>
              </w:rPr>
            </w:pPr>
            <w:r>
              <w:rPr>
                <w:b/>
              </w:rPr>
              <w:t>297</w:t>
            </w:r>
          </w:p>
        </w:tc>
        <w:tc>
          <w:tcPr>
            <w:tcW w:w="31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b/>
              </w:rPr>
            </w:pPr>
            <w:r>
              <w:rPr>
                <w:b/>
              </w:rPr>
              <w:t>138</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31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(3</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(5</w:t>
            </w:r>
          </w:p>
        </w:tc>
        <w:tc>
          <w:tcPr>
            <w:tcW w:w="31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(10</w:t>
            </w:r>
          </w:p>
        </w:tc>
        <w:tc>
          <w:tcPr>
            <w:tcW w:w="160" w:type="dxa"/>
            <w:tcBorders/>
            <w:vAlign w:val="bottom"/>
          </w:tcPr>
          <w:p>
            <w:pPr>
              <w:pStyle w:val="TableContents"/>
              <w:bidi w:val="0"/>
              <w:spacing w:before="0" w:after="283"/>
              <w:jc w:val="left"/>
              <w:rPr/>
            </w:pPr>
            <w:r>
              <w:rPr/>
              <w:t>) </w:t>
            </w:r>
          </w:p>
        </w:tc>
      </w:tr>
      <w:tr>
        <w:trPr/>
        <w:tc>
          <w:tcPr>
            <w:tcW w:w="3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2</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9</w:t>
            </w:r>
          </w:p>
        </w:tc>
        <w:tc>
          <w:tcPr>
            <w:tcW w:w="31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27</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— </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18</w:t>
            </w:r>
          </w:p>
        </w:tc>
        <w:tc>
          <w:tcPr>
            <w:tcW w:w="31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31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before income taxes</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b/>
              </w:rPr>
            </w:pPr>
            <w:r>
              <w:rPr>
                <w:b/>
              </w:rPr>
              <w:t>160</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b/>
              </w:rPr>
            </w:pPr>
            <w:r>
              <w:rPr>
                <w:b/>
              </w:rPr>
              <w:t>62</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b/>
              </w:rPr>
            </w:pPr>
            <w:r>
              <w:rPr>
                <w:b/>
              </w:rPr>
              <w:t>276</w:t>
            </w:r>
          </w:p>
        </w:tc>
        <w:tc>
          <w:tcPr>
            <w:tcW w:w="31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b/>
              </w:rPr>
            </w:pPr>
            <w:r>
              <w:rPr>
                <w:b/>
              </w:rPr>
              <w:t>121</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31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38</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65</w:t>
            </w:r>
          </w:p>
        </w:tc>
        <w:tc>
          <w:tcPr>
            <w:tcW w:w="31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56</w:t>
            </w:r>
          </w:p>
        </w:tc>
        <w:tc>
          <w:tcPr>
            <w:tcW w:w="160" w:type="dxa"/>
            <w:tcBorders/>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31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b/>
              </w:rPr>
            </w:pPr>
            <w:r>
              <w:rPr>
                <w:b/>
              </w:rPr>
              <w:t>$</w:t>
            </w:r>
          </w:p>
        </w:tc>
        <w:tc>
          <w:tcPr>
            <w:tcW w:w="982" w:type="dxa"/>
            <w:tcBorders/>
            <w:shd w:fill="CCEEFF" w:val="clear"/>
            <w:vAlign w:val="bottom"/>
          </w:tcPr>
          <w:p>
            <w:pPr>
              <w:pStyle w:val="TableContents"/>
              <w:bidi w:val="0"/>
              <w:spacing w:before="0" w:after="283"/>
              <w:jc w:val="right"/>
              <w:rPr>
                <w:b/>
              </w:rPr>
            </w:pPr>
            <w:r>
              <w:rPr>
                <w:b/>
              </w:rPr>
              <w:t>122</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b/>
              </w:rPr>
            </w:pPr>
            <w:r>
              <w:rPr>
                <w:b/>
              </w:rPr>
              <w:t>$</w:t>
            </w:r>
          </w:p>
        </w:tc>
        <w:tc>
          <w:tcPr>
            <w:tcW w:w="985" w:type="dxa"/>
            <w:tcBorders/>
            <w:shd w:fill="CCEEFF" w:val="clear"/>
            <w:vAlign w:val="bottom"/>
          </w:tcPr>
          <w:p>
            <w:pPr>
              <w:pStyle w:val="TableContents"/>
              <w:bidi w:val="0"/>
              <w:spacing w:before="0" w:after="283"/>
              <w:jc w:val="right"/>
              <w:rPr>
                <w:b/>
              </w:rPr>
            </w:pPr>
            <w:r>
              <w:rPr>
                <w:b/>
              </w:rPr>
              <w:t>18</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b/>
              </w:rPr>
            </w:pPr>
            <w:r>
              <w:rPr>
                <w:b/>
              </w:rPr>
              <w:t>$</w:t>
            </w:r>
          </w:p>
        </w:tc>
        <w:tc>
          <w:tcPr>
            <w:tcW w:w="892" w:type="dxa"/>
            <w:tcBorders/>
            <w:shd w:fill="CCEEFF" w:val="clear"/>
            <w:vAlign w:val="bottom"/>
          </w:tcPr>
          <w:p>
            <w:pPr>
              <w:pStyle w:val="TableContents"/>
              <w:bidi w:val="0"/>
              <w:spacing w:before="0" w:after="283"/>
              <w:jc w:val="right"/>
              <w:rPr>
                <w:b/>
              </w:rPr>
            </w:pPr>
            <w:r>
              <w:rPr>
                <w:b/>
              </w:rPr>
              <w:t>211</w:t>
            </w:r>
          </w:p>
        </w:tc>
        <w:tc>
          <w:tcPr>
            <w:tcW w:w="31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b/>
              </w:rPr>
            </w:pPr>
            <w:r>
              <w:rPr>
                <w:b/>
              </w:rPr>
              <w:t>$</w:t>
            </w:r>
          </w:p>
        </w:tc>
        <w:tc>
          <w:tcPr>
            <w:tcW w:w="895" w:type="dxa"/>
            <w:tcBorders/>
            <w:shd w:fill="CCEEFF" w:val="clear"/>
            <w:vAlign w:val="bottom"/>
          </w:tcPr>
          <w:p>
            <w:pPr>
              <w:pStyle w:val="TableContents"/>
              <w:bidi w:val="0"/>
              <w:spacing w:before="0" w:after="283"/>
              <w:jc w:val="right"/>
              <w:rPr>
                <w:b/>
              </w:rPr>
            </w:pPr>
            <w:r>
              <w:rPr>
                <w:b/>
              </w:rPr>
              <w:t>65</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34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31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b/>
                <w:sz w:val="20"/>
              </w:rPr>
            </w:pPr>
            <w:r>
              <w:rPr>
                <w:rFonts w:ascii="Times New Roman" w:hAnsi="Times New Roman"/>
                <w:b/>
                <w:sz w:val="20"/>
              </w:rPr>
              <w:t>Earnings per share</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5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0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1.02</w:t>
            </w:r>
          </w:p>
        </w:tc>
        <w:tc>
          <w:tcPr>
            <w:tcW w:w="34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0.15</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1.73</w:t>
            </w:r>
          </w:p>
        </w:tc>
        <w:tc>
          <w:tcPr>
            <w:tcW w:w="31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0.53</w:t>
            </w:r>
          </w:p>
        </w:tc>
        <w:tc>
          <w:tcPr>
            <w:tcW w:w="160" w:type="dxa"/>
            <w:tcBorders/>
            <w:shd w:fill="CCEEFF" w:val="clear"/>
            <w:vAlign w:val="bottom"/>
          </w:tcPr>
          <w:p>
            <w:pPr>
              <w:pStyle w:val="TableContents"/>
              <w:bidi w:val="0"/>
              <w:spacing w:before="0" w:after="283"/>
              <w:jc w:val="left"/>
              <w:rPr/>
            </w:pPr>
            <w:r>
              <w:rPr/>
              <w:t> </w:t>
            </w:r>
          </w:p>
        </w:tc>
      </w:tr>
      <w:tr>
        <w:trPr/>
        <w:tc>
          <w:tcPr>
            <w:tcW w:w="3508"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0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0.98</w:t>
            </w:r>
          </w:p>
        </w:tc>
        <w:tc>
          <w:tcPr>
            <w:tcW w:w="34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0.14</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1.67</w:t>
            </w:r>
          </w:p>
        </w:tc>
        <w:tc>
          <w:tcPr>
            <w:tcW w:w="31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895" w:type="dxa"/>
            <w:tcBorders/>
            <w:vAlign w:val="bottom"/>
          </w:tcPr>
          <w:p>
            <w:pPr>
              <w:pStyle w:val="TableContents"/>
              <w:bidi w:val="0"/>
              <w:spacing w:before="0" w:after="283"/>
              <w:jc w:val="right"/>
              <w:rPr/>
            </w:pPr>
            <w:r>
              <w:rPr/>
              <w:t>0.52</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Indivior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(Amounts in millions, except per share data and percentages)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55"/>
        <w:gridCol w:w="455"/>
        <w:gridCol w:w="283"/>
        <w:gridCol w:w="1139"/>
        <w:gridCol w:w="155"/>
        <w:gridCol w:w="404"/>
        <w:gridCol w:w="391"/>
        <w:gridCol w:w="1565"/>
        <w:gridCol w:w="158"/>
      </w:tblGrid>
      <w:tr>
        <w:trPr/>
        <w:tc>
          <w:tcPr>
            <w:tcW w:w="5655" w:type="dxa"/>
            <w:tcBorders/>
            <w:vAlign w:val="center"/>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5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655"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sz w:val="4"/>
                <w:szCs w:val="4"/>
              </w:rPr>
            </w:pPr>
            <w:r>
              <w:rPr>
                <w:sz w:val="4"/>
                <w:szCs w:val="4"/>
              </w:rPr>
            </w:r>
          </w:p>
        </w:tc>
        <w:tc>
          <w:tcPr>
            <w:tcW w:w="156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222</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5" w:type="dxa"/>
            <w:tcBorders/>
            <w:shd w:fill="CCEEFF" w:val="clear"/>
            <w:vAlign w:val="bottom"/>
          </w:tcPr>
          <w:p>
            <w:pPr>
              <w:pStyle w:val="TableContents"/>
              <w:bidi w:val="0"/>
              <w:spacing w:before="0" w:after="283"/>
              <w:jc w:val="right"/>
              <w:rPr/>
            </w:pPr>
            <w:r>
              <w:rPr/>
              <w:t>195</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 of allowances of $3 (2026) and $4 (2025)</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271</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253</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150</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153</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34</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tax receivable</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2</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16</w:t>
            </w:r>
          </w:p>
        </w:tc>
        <w:tc>
          <w:tcPr>
            <w:tcW w:w="158" w:type="dxa"/>
            <w:tcBorders/>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b/>
              </w:rPr>
            </w:pPr>
            <w:r>
              <w:rPr>
                <w:b/>
              </w:rPr>
              <w:t>725</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b/>
              </w:rPr>
            </w:pPr>
            <w:r>
              <w:rPr>
                <w:b/>
              </w:rPr>
              <w:t>652</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28</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162</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144</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 of use assets, net</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26</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and other intangible assets, net</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2</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271</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323</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27</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b/>
              </w:rPr>
            </w:pPr>
            <w:r>
              <w:rPr>
                <w:b/>
              </w:rPr>
              <w:t>$</w:t>
            </w:r>
          </w:p>
        </w:tc>
        <w:tc>
          <w:tcPr>
            <w:tcW w:w="1139" w:type="dxa"/>
            <w:tcBorders/>
            <w:vAlign w:val="bottom"/>
          </w:tcPr>
          <w:p>
            <w:pPr>
              <w:pStyle w:val="TableContents"/>
              <w:bidi w:val="0"/>
              <w:spacing w:before="0" w:after="283"/>
              <w:jc w:val="right"/>
              <w:rPr>
                <w:b/>
              </w:rPr>
            </w:pPr>
            <w:r>
              <w:rPr>
                <w:b/>
              </w:rPr>
              <w:t>1,233</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b/>
              </w:rPr>
            </w:pPr>
            <w:r>
              <w:rPr>
                <w:b/>
              </w:rPr>
              <w:t>$</w:t>
            </w:r>
          </w:p>
        </w:tc>
        <w:tc>
          <w:tcPr>
            <w:tcW w:w="1565" w:type="dxa"/>
            <w:tcBorders/>
            <w:vAlign w:val="bottom"/>
          </w:tcPr>
          <w:p>
            <w:pPr>
              <w:pStyle w:val="TableContents"/>
              <w:bidi w:val="0"/>
              <w:spacing w:before="0" w:after="283"/>
              <w:jc w:val="right"/>
              <w:rPr>
                <w:b/>
              </w:rPr>
            </w:pPr>
            <w:r>
              <w:rPr>
                <w:b/>
              </w:rPr>
              <w:t>1,201</w:t>
            </w:r>
          </w:p>
        </w:tc>
        <w:tc>
          <w:tcPr>
            <w:tcW w:w="158" w:type="dxa"/>
            <w:tcBorders/>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156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deficit</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655"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sz w:val="4"/>
                <w:szCs w:val="4"/>
              </w:rPr>
            </w:pPr>
            <w:r>
              <w:rPr>
                <w:sz w:val="4"/>
                <w:szCs w:val="4"/>
              </w:rPr>
            </w:r>
          </w:p>
        </w:tc>
        <w:tc>
          <w:tcPr>
            <w:tcW w:w="156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rebates and product returns</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610</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5" w:type="dxa"/>
            <w:tcBorders/>
            <w:shd w:fill="CCEEFF" w:val="clear"/>
            <w:vAlign w:val="bottom"/>
          </w:tcPr>
          <w:p>
            <w:pPr>
              <w:pStyle w:val="TableContents"/>
              <w:bidi w:val="0"/>
              <w:spacing w:before="0" w:after="283"/>
              <w:jc w:val="right"/>
              <w:rPr/>
            </w:pPr>
            <w:r>
              <w:rPr/>
              <w:t>582</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206</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250</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litigation settlement expenses, current</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42</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29</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10</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2</w:t>
            </w:r>
          </w:p>
        </w:tc>
        <w:tc>
          <w:tcPr>
            <w:tcW w:w="158" w:type="dxa"/>
            <w:tcBorders/>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b/>
              </w:rPr>
            </w:pPr>
            <w:r>
              <w:rPr>
                <w:b/>
              </w:rPr>
              <w:t>868</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b/>
              </w:rPr>
            </w:pPr>
            <w:r>
              <w:rPr>
                <w:b/>
              </w:rPr>
              <w:t>914</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less current portion</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487</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290</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litigation settlement expenses, noncurrent</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52</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22</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21</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b/>
              </w:rPr>
            </w:pPr>
            <w:r>
              <w:rPr>
                <w:b/>
              </w:rPr>
              <w:t>1,441</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b/>
              </w:rPr>
            </w:pPr>
            <w:r>
              <w:rPr>
                <w:b/>
              </w:rPr>
              <w:t>1,300</w:t>
            </w:r>
          </w:p>
        </w:tc>
        <w:tc>
          <w:tcPr>
            <w:tcW w:w="158" w:type="dxa"/>
            <w:tcBorders/>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Stockholders’ deficit</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sz w:val="4"/>
                <w:szCs w:val="4"/>
              </w:rPr>
            </w:pPr>
            <w:r>
              <w:rPr>
                <w:sz w:val="4"/>
                <w:szCs w:val="4"/>
              </w:rPr>
            </w:r>
          </w:p>
        </w:tc>
        <w:tc>
          <w:tcPr>
            <w:tcW w:w="15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par value $0.001 per share (2026) and $0.50 per share (2025)</w:t>
            </w:r>
          </w:p>
          <w:p>
            <w:pPr>
              <w:pStyle w:val="TableContents"/>
              <w:bidi w:val="0"/>
              <w:spacing w:before="0" w:after="20"/>
              <w:jc w:val="left"/>
              <w:rPr>
                <w:rFonts w:ascii="Times New Roman" w:hAnsi="Times New Roman"/>
                <w:sz w:val="20"/>
              </w:rPr>
            </w:pPr>
            <w:r>
              <w:rPr>
                <w:rFonts w:ascii="Times New Roman" w:hAnsi="Times New Roman"/>
                <w:sz w:val="20"/>
              </w:rPr>
              <w:t>Issued shares: 118 (2026) and 125 (2025)</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62</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155</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112</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(30</w:t>
            </w:r>
          </w:p>
        </w:tc>
        <w:tc>
          <w:tcPr>
            <w:tcW w:w="158" w:type="dxa"/>
            <w:tcBorders/>
            <w:vAlign w:val="bottom"/>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(334</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(243</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stockholders’ deficit</w:t>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b/>
              </w:rPr>
            </w:pPr>
            <w:r>
              <w:rPr>
                <w:b/>
              </w:rPr>
              <w:t>(208</w:t>
            </w:r>
          </w:p>
        </w:tc>
        <w:tc>
          <w:tcPr>
            <w:tcW w:w="155" w:type="dxa"/>
            <w:tcBorders/>
            <w:vAlign w:val="bottom"/>
          </w:tcPr>
          <w:p>
            <w:pPr>
              <w:pStyle w:val="TableContents"/>
              <w:bidi w:val="0"/>
              <w:spacing w:before="0" w:after="283"/>
              <w:jc w:val="left"/>
              <w:rPr>
                <w:b/>
              </w:rPr>
            </w:pPr>
            <w:r>
              <w:rPr>
                <w:b/>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b/>
              </w:rPr>
            </w:pPr>
            <w:r>
              <w:rPr>
                <w:b/>
              </w:rPr>
              <w:t>(98</w:t>
            </w:r>
          </w:p>
        </w:tc>
        <w:tc>
          <w:tcPr>
            <w:tcW w:w="158" w:type="dxa"/>
            <w:tcBorders/>
            <w:vAlign w:val="bottom"/>
          </w:tcPr>
          <w:p>
            <w:pPr>
              <w:pStyle w:val="TableContents"/>
              <w:bidi w:val="0"/>
              <w:spacing w:before="0" w:after="283"/>
              <w:jc w:val="left"/>
              <w:rPr>
                <w:b/>
              </w:rPr>
            </w:pPr>
            <w:r>
              <w:rPr>
                <w:b/>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deficit</w:t>
            </w:r>
          </w:p>
        </w:tc>
        <w:tc>
          <w:tcPr>
            <w:tcW w:w="4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b/>
              </w:rPr>
            </w:pPr>
            <w:r>
              <w:rPr>
                <w:b/>
              </w:rPr>
              <w:t>$</w:t>
            </w:r>
          </w:p>
        </w:tc>
        <w:tc>
          <w:tcPr>
            <w:tcW w:w="1139" w:type="dxa"/>
            <w:tcBorders/>
            <w:shd w:fill="CCEEFF" w:val="clear"/>
            <w:vAlign w:val="bottom"/>
          </w:tcPr>
          <w:p>
            <w:pPr>
              <w:pStyle w:val="TableContents"/>
              <w:bidi w:val="0"/>
              <w:spacing w:before="0" w:after="283"/>
              <w:jc w:val="right"/>
              <w:rPr>
                <w:b/>
              </w:rPr>
            </w:pPr>
            <w:r>
              <w:rPr>
                <w:b/>
              </w:rPr>
              <w:t>1,233</w:t>
            </w:r>
          </w:p>
        </w:tc>
        <w:tc>
          <w:tcPr>
            <w:tcW w:w="15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b/>
              </w:rPr>
            </w:pPr>
            <w:r>
              <w:rPr>
                <w:b/>
              </w:rPr>
              <w:t>$</w:t>
            </w:r>
          </w:p>
        </w:tc>
        <w:tc>
          <w:tcPr>
            <w:tcW w:w="1565" w:type="dxa"/>
            <w:tcBorders/>
            <w:shd w:fill="CCEEFF" w:val="clear"/>
            <w:vAlign w:val="bottom"/>
          </w:tcPr>
          <w:p>
            <w:pPr>
              <w:pStyle w:val="TableContents"/>
              <w:bidi w:val="0"/>
              <w:spacing w:before="0" w:after="283"/>
              <w:jc w:val="right"/>
              <w:rPr>
                <w:b/>
              </w:rPr>
            </w:pPr>
            <w:r>
              <w:rPr>
                <w:b/>
              </w:rPr>
              <w:t>1,201</w:t>
            </w:r>
          </w:p>
        </w:tc>
        <w:tc>
          <w:tcPr>
            <w:tcW w:w="158" w:type="dxa"/>
            <w:tcBorders/>
            <w:shd w:fill="CCEEFF" w:val="clear"/>
            <w:vAlign w:val="bottom"/>
          </w:tcPr>
          <w:p>
            <w:pPr>
              <w:pStyle w:val="TableContents"/>
              <w:bidi w:val="0"/>
              <w:spacing w:before="0" w:after="283"/>
              <w:jc w:val="left"/>
              <w:rPr/>
            </w:pPr>
            <w:r>
              <w:rPr/>
              <w:t> </w:t>
            </w:r>
          </w:p>
        </w:tc>
      </w:tr>
      <w:tr>
        <w:trPr/>
        <w:tc>
          <w:tcPr>
            <w:tcW w:w="5655"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156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Indivior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(Amounts in millions, except per share data and percentages)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15"/>
        <w:gridCol w:w="363"/>
        <w:gridCol w:w="291"/>
        <w:gridCol w:w="1002"/>
        <w:gridCol w:w="322"/>
        <w:gridCol w:w="366"/>
        <w:gridCol w:w="291"/>
        <w:gridCol w:w="797"/>
        <w:gridCol w:w="158"/>
      </w:tblGrid>
      <w:tr>
        <w:trPr/>
        <w:tc>
          <w:tcPr>
            <w:tcW w:w="6615"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1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30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8"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2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vAlign w:val="bottom"/>
          </w:tcPr>
          <w:p>
            <w:pPr>
              <w:pStyle w:val="TableContents"/>
              <w:bidi w:val="0"/>
              <w:spacing w:before="0" w:after="283"/>
              <w:jc w:val="left"/>
              <w:rPr>
                <w:b/>
                <w:sz w:val="18"/>
              </w:rPr>
            </w:pPr>
            <w:r>
              <w:rPr>
                <w:b/>
                <w:sz w:val="18"/>
              </w:rPr>
              <w:t>Cash flows from operating activities: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79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1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b/>
              </w:rPr>
            </w:pPr>
            <w:r>
              <w:rPr>
                <w:b/>
              </w:rPr>
              <w:t>$</w:t>
            </w:r>
          </w:p>
        </w:tc>
        <w:tc>
          <w:tcPr>
            <w:tcW w:w="1002" w:type="dxa"/>
            <w:tcBorders/>
            <w:vAlign w:val="bottom"/>
          </w:tcPr>
          <w:p>
            <w:pPr>
              <w:pStyle w:val="TableContents"/>
              <w:bidi w:val="0"/>
              <w:spacing w:before="0" w:after="283"/>
              <w:jc w:val="right"/>
              <w:rPr>
                <w:b/>
              </w:rPr>
            </w:pPr>
            <w:r>
              <w:rPr>
                <w:b/>
              </w:rPr>
              <w:t>211</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b/>
              </w:rPr>
            </w:pPr>
            <w:r>
              <w:rPr>
                <w:b/>
              </w:rPr>
              <w:t>$</w:t>
            </w:r>
          </w:p>
        </w:tc>
        <w:tc>
          <w:tcPr>
            <w:tcW w:w="797" w:type="dxa"/>
            <w:tcBorders/>
            <w:vAlign w:val="bottom"/>
          </w:tcPr>
          <w:p>
            <w:pPr>
              <w:pStyle w:val="TableContents"/>
              <w:bidi w:val="0"/>
              <w:spacing w:before="0" w:after="283"/>
              <w:jc w:val="right"/>
              <w:rPr>
                <w:b/>
              </w:rPr>
            </w:pPr>
            <w:r>
              <w:rPr>
                <w:b/>
              </w:rPr>
              <w:t>65</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from operating activities: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79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4</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5</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right-of-use assets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20</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14</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tangible and intangible assets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8</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18</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on equity investments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52</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7</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Impact from foreign exchange movements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(5</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Other adjustments, net</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operating assets and liabilities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(99</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139</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b/>
              </w:rPr>
            </w:pPr>
            <w:r>
              <w:rPr>
                <w:b/>
              </w:rPr>
              <w:t>220</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b/>
              </w:rPr>
            </w:pPr>
            <w:r>
              <w:rPr>
                <w:b/>
              </w:rPr>
              <w:t>233</w:t>
            </w:r>
          </w:p>
        </w:tc>
        <w:tc>
          <w:tcPr>
            <w:tcW w:w="158"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79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(27</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(22</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in-process research and development and intangible assets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investments in debt securities</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(8</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maturities of debt securities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9</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11</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b/>
              </w:rPr>
            </w:pPr>
            <w:r>
              <w:rPr>
                <w:b/>
              </w:rPr>
              <w:t>(27</w:t>
            </w:r>
          </w:p>
        </w:tc>
        <w:tc>
          <w:tcPr>
            <w:tcW w:w="322" w:type="dxa"/>
            <w:tcBorders/>
            <w:vAlign w:val="bottom"/>
          </w:tcPr>
          <w:p>
            <w:pPr>
              <w:pStyle w:val="TableContents"/>
              <w:bidi w:val="0"/>
              <w:spacing w:before="0" w:after="283"/>
              <w:jc w:val="left"/>
              <w:rPr>
                <w:b/>
              </w:rPr>
            </w:pPr>
            <w:r>
              <w:rPr>
                <w:b/>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b/>
              </w:rPr>
            </w:pPr>
            <w:r>
              <w:rPr>
                <w:b/>
              </w:rPr>
              <w:t>(22</w:t>
            </w:r>
          </w:p>
        </w:tc>
        <w:tc>
          <w:tcPr>
            <w:tcW w:w="158" w:type="dxa"/>
            <w:tcBorders/>
            <w:vAlign w:val="bottom"/>
          </w:tcPr>
          <w:p>
            <w:pPr>
              <w:pStyle w:val="TableContents"/>
              <w:bidi w:val="0"/>
              <w:spacing w:before="0" w:after="283"/>
              <w:jc w:val="left"/>
              <w:rPr>
                <w:b/>
              </w:rPr>
            </w:pPr>
            <w:r>
              <w:rPr>
                <w:b/>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79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the issuance of common stock</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repurchases of common stock</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(302</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(11</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debt, net</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489</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of debt</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(333</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(8</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 related to debt refinancing</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(5</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of equity awards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(21</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5</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financing activities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b/>
              </w:rPr>
            </w:pPr>
            <w:r>
              <w:rPr>
                <w:b/>
              </w:rPr>
              <w:t>(166</w:t>
            </w:r>
          </w:p>
        </w:tc>
        <w:tc>
          <w:tcPr>
            <w:tcW w:w="322" w:type="dxa"/>
            <w:tcBorders/>
            <w:shd w:fill="CCEEFF" w:val="clear"/>
            <w:vAlign w:val="bottom"/>
          </w:tcPr>
          <w:p>
            <w:pPr>
              <w:pStyle w:val="TableContents"/>
              <w:bidi w:val="0"/>
              <w:spacing w:before="0" w:after="283"/>
              <w:jc w:val="left"/>
              <w:rPr>
                <w:b/>
              </w:rPr>
            </w:pPr>
            <w:r>
              <w:rPr>
                <w:b/>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b/>
              </w:rPr>
            </w:pPr>
            <w:r>
              <w:rPr>
                <w:b/>
              </w:rPr>
              <w:t>(22</w:t>
            </w:r>
          </w:p>
        </w:tc>
        <w:tc>
          <w:tcPr>
            <w:tcW w:w="158" w:type="dxa"/>
            <w:tcBorders/>
            <w:shd w:fill="CCEEFF" w:val="clear"/>
            <w:vAlign w:val="bottom"/>
          </w:tcPr>
          <w:p>
            <w:pPr>
              <w:pStyle w:val="TableContents"/>
              <w:bidi w:val="0"/>
              <w:spacing w:before="0" w:after="283"/>
              <w:jc w:val="left"/>
              <w:rPr>
                <w:b/>
              </w:rPr>
            </w:pPr>
            <w:r>
              <w:rPr>
                <w:b/>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increase in cash and cash equivalents</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b/>
              </w:rPr>
            </w:pPr>
            <w:r>
              <w:rPr>
                <w:b/>
              </w:rPr>
              <w:t>28</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b/>
              </w:rPr>
            </w:pPr>
            <w:r>
              <w:rPr>
                <w:b/>
              </w:rPr>
              <w:t>189</w:t>
            </w:r>
          </w:p>
        </w:tc>
        <w:tc>
          <w:tcPr>
            <w:tcW w:w="158" w:type="dxa"/>
            <w:tcBorders/>
            <w:vAlign w:val="bottom"/>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differences</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195</w:t>
            </w:r>
          </w:p>
        </w:tc>
        <w:tc>
          <w:tcPr>
            <w:tcW w:w="322"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319</w:t>
            </w:r>
          </w:p>
        </w:tc>
        <w:tc>
          <w:tcPr>
            <w:tcW w:w="158" w:type="dxa"/>
            <w:tcBorders/>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end of period</w:t>
            </w:r>
          </w:p>
        </w:tc>
        <w:tc>
          <w:tcPr>
            <w:tcW w:w="36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b/>
              </w:rPr>
            </w:pPr>
            <w:r>
              <w:rPr>
                <w:b/>
              </w:rPr>
              <w:t>$</w:t>
            </w:r>
          </w:p>
        </w:tc>
        <w:tc>
          <w:tcPr>
            <w:tcW w:w="1002" w:type="dxa"/>
            <w:tcBorders/>
            <w:shd w:fill="CCEEFF" w:val="clear"/>
            <w:vAlign w:val="bottom"/>
          </w:tcPr>
          <w:p>
            <w:pPr>
              <w:pStyle w:val="TableContents"/>
              <w:bidi w:val="0"/>
              <w:spacing w:before="0" w:after="283"/>
              <w:jc w:val="right"/>
              <w:rPr>
                <w:b/>
              </w:rPr>
            </w:pPr>
            <w:r>
              <w:rPr>
                <w:b/>
              </w:rPr>
              <w:t>222</w:t>
            </w:r>
          </w:p>
        </w:tc>
        <w:tc>
          <w:tcPr>
            <w:tcW w:w="322"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b/>
              </w:rPr>
            </w:pPr>
            <w:r>
              <w:rPr>
                <w:b/>
              </w:rPr>
              <w:t>$</w:t>
            </w:r>
          </w:p>
        </w:tc>
        <w:tc>
          <w:tcPr>
            <w:tcW w:w="797" w:type="dxa"/>
            <w:tcBorders/>
            <w:shd w:fill="CCEEFF" w:val="clear"/>
            <w:vAlign w:val="bottom"/>
          </w:tcPr>
          <w:p>
            <w:pPr>
              <w:pStyle w:val="TableContents"/>
              <w:bidi w:val="0"/>
              <w:spacing w:before="0" w:after="283"/>
              <w:jc w:val="right"/>
              <w:rPr>
                <w:b/>
              </w:rPr>
            </w:pPr>
            <w:r>
              <w:rPr>
                <w:b/>
              </w:rPr>
              <w:t>510</w:t>
            </w:r>
          </w:p>
        </w:tc>
        <w:tc>
          <w:tcPr>
            <w:tcW w:w="158" w:type="dxa"/>
            <w:tcBorders/>
            <w:shd w:fill="CCEEFF" w:val="clear"/>
            <w:vAlign w:val="bottom"/>
          </w:tcPr>
          <w:p>
            <w:pPr>
              <w:pStyle w:val="TableContents"/>
              <w:bidi w:val="0"/>
              <w:spacing w:before="0" w:after="283"/>
              <w:jc w:val="left"/>
              <w:rPr/>
            </w:pPr>
            <w:r>
              <w:rPr/>
              <w:t> </w:t>
            </w:r>
          </w:p>
        </w:tc>
      </w:tr>
      <w:tr>
        <w:trPr/>
        <w:tc>
          <w:tcPr>
            <w:tcW w:w="6615"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79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Indivior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(Amounts in millions, except per share data and percentages)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Selected revenue information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28"/>
        <w:gridCol w:w="228"/>
        <w:gridCol w:w="351"/>
        <w:gridCol w:w="972"/>
        <w:gridCol w:w="150"/>
        <w:gridCol w:w="405"/>
        <w:gridCol w:w="351"/>
        <w:gridCol w:w="976"/>
        <w:gridCol w:w="60"/>
        <w:gridCol w:w="228"/>
        <w:gridCol w:w="317"/>
        <w:gridCol w:w="863"/>
        <w:gridCol w:w="135"/>
        <w:gridCol w:w="376"/>
        <w:gridCol w:w="317"/>
        <w:gridCol w:w="866"/>
        <w:gridCol w:w="65"/>
      </w:tblGrid>
      <w:tr>
        <w:trPr/>
        <w:tc>
          <w:tcPr>
            <w:tcW w:w="2728"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7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2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8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65" w:type="dxa"/>
            <w:tcBorders/>
            <w:vAlign w:val="bottom"/>
          </w:tcPr>
          <w:p>
            <w:pPr>
              <w:pStyle w:val="TableContents"/>
              <w:bidi w:val="0"/>
              <w:spacing w:before="0" w:after="283"/>
              <w:jc w:val="left"/>
              <w:rPr/>
            </w:pPr>
            <w:r>
              <w:rPr/>
              <w:t> </w:t>
            </w:r>
          </w:p>
        </w:tc>
      </w:tr>
      <w:tr>
        <w:trPr/>
        <w:tc>
          <w:tcPr>
            <w:tcW w:w="272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35"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2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w:t>
            </w:r>
          </w:p>
        </w:tc>
        <w:tc>
          <w:tcPr>
            <w:tcW w:w="228"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972"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9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sz w:val="4"/>
                <w:szCs w:val="4"/>
              </w:rPr>
            </w:pPr>
            <w:r>
              <w:rPr>
                <w:sz w:val="4"/>
                <w:szCs w:val="4"/>
              </w:rPr>
            </w:r>
          </w:p>
        </w:tc>
        <w:tc>
          <w:tcPr>
            <w:tcW w:w="863"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37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728" w:type="dxa"/>
            <w:tcBorders/>
          </w:tcPr>
          <w:p>
            <w:pPr>
              <w:pStyle w:val="TableContents"/>
              <w:bidi w:val="0"/>
              <w:spacing w:before="0" w:after="0"/>
              <w:jc w:val="left"/>
              <w:rPr>
                <w:rFonts w:ascii="Times New Roman" w:hAnsi="Times New Roman"/>
                <w:sz w:val="20"/>
              </w:rPr>
            </w:pPr>
            <w:r>
              <w:rPr>
                <w:rFonts w:ascii="Times New Roman" w:hAnsi="Times New Roman"/>
                <w:sz w:val="20"/>
              </w:rPr>
              <w:t>SUBLOCADE*</w:t>
            </w:r>
          </w:p>
        </w:tc>
        <w:tc>
          <w:tcPr>
            <w:tcW w:w="22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w:t>
            </w:r>
          </w:p>
        </w:tc>
        <w:tc>
          <w:tcPr>
            <w:tcW w:w="972" w:type="dxa"/>
            <w:tcBorders/>
            <w:vAlign w:val="bottom"/>
          </w:tcPr>
          <w:p>
            <w:pPr>
              <w:pStyle w:val="TableContents"/>
              <w:bidi w:val="0"/>
              <w:spacing w:before="0" w:after="283"/>
              <w:jc w:val="right"/>
              <w:rPr/>
            </w:pPr>
            <w:r>
              <w:rPr/>
              <w:t>238</w:t>
            </w:r>
          </w:p>
        </w:tc>
        <w:tc>
          <w:tcPr>
            <w:tcW w:w="15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w:t>
            </w:r>
          </w:p>
        </w:tc>
        <w:tc>
          <w:tcPr>
            <w:tcW w:w="976" w:type="dxa"/>
            <w:tcBorders/>
            <w:vAlign w:val="bottom"/>
          </w:tcPr>
          <w:p>
            <w:pPr>
              <w:pStyle w:val="TableContents"/>
              <w:bidi w:val="0"/>
              <w:spacing w:before="0" w:after="283"/>
              <w:jc w:val="right"/>
              <w:rPr/>
            </w:pPr>
            <w:r>
              <w:rPr/>
              <w:t>195</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w:t>
            </w:r>
          </w:p>
        </w:tc>
        <w:tc>
          <w:tcPr>
            <w:tcW w:w="863" w:type="dxa"/>
            <w:tcBorders/>
            <w:vAlign w:val="bottom"/>
          </w:tcPr>
          <w:p>
            <w:pPr>
              <w:pStyle w:val="TableContents"/>
              <w:bidi w:val="0"/>
              <w:spacing w:before="0" w:after="283"/>
              <w:jc w:val="right"/>
              <w:rPr/>
            </w:pPr>
            <w:r>
              <w:rPr/>
              <w:t>455</w:t>
            </w:r>
          </w:p>
        </w:tc>
        <w:tc>
          <w:tcPr>
            <w:tcW w:w="135"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359</w:t>
            </w:r>
          </w:p>
        </w:tc>
        <w:tc>
          <w:tcPr>
            <w:tcW w:w="65" w:type="dxa"/>
            <w:tcBorders/>
            <w:vAlign w:val="bottom"/>
          </w:tcPr>
          <w:p>
            <w:pPr>
              <w:pStyle w:val="TableContents"/>
              <w:bidi w:val="0"/>
              <w:spacing w:before="0" w:after="283"/>
              <w:jc w:val="left"/>
              <w:rPr/>
            </w:pPr>
            <w:r>
              <w:rPr/>
              <w:t> </w:t>
            </w:r>
          </w:p>
        </w:tc>
      </w:tr>
      <w:tr>
        <w:trPr/>
        <w:tc>
          <w:tcPr>
            <w:tcW w:w="2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Sublingual &amp; other</w:t>
            </w:r>
          </w:p>
        </w:tc>
        <w:tc>
          <w:tcPr>
            <w:tcW w:w="228"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57</w:t>
            </w:r>
          </w:p>
        </w:tc>
        <w:tc>
          <w:tcPr>
            <w:tcW w:w="15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52</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107</w:t>
            </w:r>
          </w:p>
        </w:tc>
        <w:tc>
          <w:tcPr>
            <w:tcW w:w="135"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107</w:t>
            </w:r>
          </w:p>
        </w:tc>
        <w:tc>
          <w:tcPr>
            <w:tcW w:w="65" w:type="dxa"/>
            <w:tcBorders/>
            <w:shd w:fill="CCEEFF" w:val="clear"/>
            <w:vAlign w:val="bottom"/>
          </w:tcPr>
          <w:p>
            <w:pPr>
              <w:pStyle w:val="TableContents"/>
              <w:bidi w:val="0"/>
              <w:spacing w:before="0" w:after="283"/>
              <w:jc w:val="left"/>
              <w:rPr/>
            </w:pPr>
            <w:r>
              <w:rPr/>
              <w:t> </w:t>
            </w:r>
          </w:p>
        </w:tc>
      </w:tr>
      <w:tr>
        <w:trPr/>
        <w:tc>
          <w:tcPr>
            <w:tcW w:w="2728" w:type="dxa"/>
            <w:tcBorders/>
          </w:tcPr>
          <w:p>
            <w:pPr>
              <w:pStyle w:val="TableContents"/>
              <w:bidi w:val="0"/>
              <w:spacing w:before="0" w:after="0"/>
              <w:jc w:val="left"/>
              <w:rPr>
                <w:rFonts w:ascii="Times New Roman" w:hAnsi="Times New Roman"/>
                <w:sz w:val="20"/>
              </w:rPr>
            </w:pPr>
            <w:r>
              <w:rPr>
                <w:rFonts w:ascii="Times New Roman" w:hAnsi="Times New Roman"/>
                <w:sz w:val="20"/>
              </w:rPr>
              <w:t>PERSERIS1</w:t>
            </w:r>
          </w:p>
        </w:tc>
        <w:tc>
          <w:tcPr>
            <w:tcW w:w="22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5</w:t>
            </w:r>
          </w:p>
        </w:tc>
        <w:tc>
          <w:tcPr>
            <w:tcW w:w="15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10</w:t>
            </w:r>
          </w:p>
        </w:tc>
        <w:tc>
          <w:tcPr>
            <w:tcW w:w="135"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272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72" w:type="dxa"/>
            <w:tcBorders/>
            <w:vAlign w:val="bottom"/>
          </w:tcPr>
          <w:p>
            <w:pPr>
              <w:pStyle w:val="TableContents"/>
              <w:pBdr>
                <w:top w:val="single" w:sz="2"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3" w:type="dxa"/>
            <w:tcBorders/>
            <w:vAlign w:val="bottom"/>
          </w:tcPr>
          <w:p>
            <w:pPr>
              <w:pStyle w:val="TableContents"/>
              <w:pBdr>
                <w:top w:val="single" w:sz="2" w:space="1" w:color="000000"/>
              </w:pBdr>
              <w:bidi w:val="0"/>
              <w:spacing w:before="0" w:after="0"/>
              <w:jc w:val="left"/>
              <w:rPr/>
            </w:pPr>
            <w:r>
              <w:rPr/>
              <w:t> </w:t>
            </w:r>
          </w:p>
        </w:tc>
        <w:tc>
          <w:tcPr>
            <w:tcW w:w="135"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7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U.S.</w:t>
            </w:r>
          </w:p>
        </w:tc>
        <w:tc>
          <w:tcPr>
            <w:tcW w:w="228"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b/>
              </w:rPr>
            </w:pPr>
            <w:r>
              <w:rPr>
                <w:b/>
              </w:rPr>
              <w:t>300</w:t>
            </w:r>
          </w:p>
        </w:tc>
        <w:tc>
          <w:tcPr>
            <w:tcW w:w="15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b/>
              </w:rPr>
            </w:pPr>
            <w:r>
              <w:rPr>
                <w:b/>
              </w:rPr>
              <w:t>256</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b/>
              </w:rPr>
            </w:pPr>
            <w:r>
              <w:rPr>
                <w:b/>
              </w:rPr>
              <w:t>572</w:t>
            </w:r>
          </w:p>
        </w:tc>
        <w:tc>
          <w:tcPr>
            <w:tcW w:w="135"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b/>
              </w:rPr>
            </w:pPr>
            <w:r>
              <w:rPr>
                <w:b/>
              </w:rPr>
              <w:t>478</w:t>
            </w:r>
          </w:p>
        </w:tc>
        <w:tc>
          <w:tcPr>
            <w:tcW w:w="65" w:type="dxa"/>
            <w:tcBorders/>
            <w:shd w:fill="CCEEFF" w:val="clear"/>
            <w:vAlign w:val="bottom"/>
          </w:tcPr>
          <w:p>
            <w:pPr>
              <w:pStyle w:val="TableContents"/>
              <w:bidi w:val="0"/>
              <w:spacing w:before="0" w:after="283"/>
              <w:jc w:val="left"/>
              <w:rPr/>
            </w:pPr>
            <w:r>
              <w:rPr/>
              <w:t> </w:t>
            </w:r>
          </w:p>
        </w:tc>
      </w:tr>
      <w:tr>
        <w:trPr/>
        <w:tc>
          <w:tcPr>
            <w:tcW w:w="272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72" w:type="dxa"/>
            <w:tcBorders/>
            <w:vAlign w:val="bottom"/>
          </w:tcPr>
          <w:p>
            <w:pPr>
              <w:pStyle w:val="TableContents"/>
              <w:pBdr>
                <w:top w:val="single" w:sz="2"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3" w:type="dxa"/>
            <w:tcBorders/>
            <w:vAlign w:val="bottom"/>
          </w:tcPr>
          <w:p>
            <w:pPr>
              <w:pStyle w:val="TableContents"/>
              <w:pBdr>
                <w:top w:val="single" w:sz="2" w:space="1" w:color="000000"/>
              </w:pBdr>
              <w:bidi w:val="0"/>
              <w:spacing w:before="0" w:after="0"/>
              <w:jc w:val="left"/>
              <w:rPr/>
            </w:pPr>
            <w:r>
              <w:rPr/>
              <w:t> </w:t>
            </w:r>
          </w:p>
        </w:tc>
        <w:tc>
          <w:tcPr>
            <w:tcW w:w="135"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728" w:type="dxa"/>
            <w:tcBorders/>
          </w:tcPr>
          <w:p>
            <w:pPr>
              <w:pStyle w:val="TableContents"/>
              <w:bidi w:val="0"/>
              <w:spacing w:before="0" w:after="0"/>
              <w:jc w:val="left"/>
              <w:rPr>
                <w:rFonts w:ascii="Times New Roman" w:hAnsi="Times New Roman"/>
                <w:sz w:val="20"/>
              </w:rPr>
            </w:pPr>
            <w:r>
              <w:rPr>
                <w:rFonts w:ascii="Times New Roman" w:hAnsi="Times New Roman"/>
                <w:sz w:val="20"/>
              </w:rPr>
              <w:t>Rest of World</w:t>
            </w:r>
          </w:p>
        </w:tc>
        <w:tc>
          <w:tcPr>
            <w:tcW w:w="22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43</w:t>
            </w:r>
          </w:p>
        </w:tc>
        <w:tc>
          <w:tcPr>
            <w:tcW w:w="15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88</w:t>
            </w:r>
          </w:p>
        </w:tc>
        <w:tc>
          <w:tcPr>
            <w:tcW w:w="135"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90</w:t>
            </w:r>
          </w:p>
        </w:tc>
        <w:tc>
          <w:tcPr>
            <w:tcW w:w="65" w:type="dxa"/>
            <w:tcBorders/>
            <w:vAlign w:val="bottom"/>
          </w:tcPr>
          <w:p>
            <w:pPr>
              <w:pStyle w:val="TableContents"/>
              <w:bidi w:val="0"/>
              <w:spacing w:before="0" w:after="283"/>
              <w:jc w:val="left"/>
              <w:rPr/>
            </w:pPr>
            <w:r>
              <w:rPr/>
              <w:t> </w:t>
            </w:r>
          </w:p>
        </w:tc>
      </w:tr>
      <w:tr>
        <w:trPr/>
        <w:tc>
          <w:tcPr>
            <w:tcW w:w="272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72" w:type="dxa"/>
            <w:tcBorders/>
            <w:vAlign w:val="bottom"/>
          </w:tcPr>
          <w:p>
            <w:pPr>
              <w:pStyle w:val="TableContents"/>
              <w:pBdr>
                <w:top w:val="single" w:sz="2"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3" w:type="dxa"/>
            <w:tcBorders/>
            <w:vAlign w:val="bottom"/>
          </w:tcPr>
          <w:p>
            <w:pPr>
              <w:pStyle w:val="TableContents"/>
              <w:pBdr>
                <w:top w:val="single" w:sz="2" w:space="1" w:color="000000"/>
              </w:pBdr>
              <w:bidi w:val="0"/>
              <w:spacing w:before="0" w:after="0"/>
              <w:jc w:val="left"/>
              <w:rPr/>
            </w:pPr>
            <w:r>
              <w:rPr/>
              <w:t> </w:t>
            </w:r>
          </w:p>
        </w:tc>
        <w:tc>
          <w:tcPr>
            <w:tcW w:w="135"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7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revenue</w:t>
            </w:r>
          </w:p>
        </w:tc>
        <w:tc>
          <w:tcPr>
            <w:tcW w:w="228"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b/>
              </w:rPr>
            </w:pPr>
            <w:r>
              <w:rPr>
                <w:b/>
              </w:rPr>
              <w:t>$</w:t>
            </w:r>
          </w:p>
        </w:tc>
        <w:tc>
          <w:tcPr>
            <w:tcW w:w="972" w:type="dxa"/>
            <w:tcBorders/>
            <w:shd w:fill="CCEEFF" w:val="clear"/>
            <w:vAlign w:val="bottom"/>
          </w:tcPr>
          <w:p>
            <w:pPr>
              <w:pStyle w:val="TableContents"/>
              <w:bidi w:val="0"/>
              <w:spacing w:before="0" w:after="283"/>
              <w:jc w:val="right"/>
              <w:rPr>
                <w:b/>
              </w:rPr>
            </w:pPr>
            <w:r>
              <w:rPr>
                <w:b/>
              </w:rPr>
              <w:t>343</w:t>
            </w:r>
          </w:p>
        </w:tc>
        <w:tc>
          <w:tcPr>
            <w:tcW w:w="15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b/>
              </w:rPr>
            </w:pPr>
            <w:r>
              <w:rPr>
                <w:b/>
              </w:rPr>
              <w:t>$</w:t>
            </w:r>
          </w:p>
        </w:tc>
        <w:tc>
          <w:tcPr>
            <w:tcW w:w="976" w:type="dxa"/>
            <w:tcBorders/>
            <w:shd w:fill="CCEEFF" w:val="clear"/>
            <w:vAlign w:val="bottom"/>
          </w:tcPr>
          <w:p>
            <w:pPr>
              <w:pStyle w:val="TableContents"/>
              <w:bidi w:val="0"/>
              <w:spacing w:before="0" w:after="283"/>
              <w:jc w:val="right"/>
              <w:rPr>
                <w:b/>
              </w:rPr>
            </w:pPr>
            <w:r>
              <w:rPr>
                <w:b/>
              </w:rPr>
              <w:t>302</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b/>
              </w:rPr>
            </w:pPr>
            <w:r>
              <w:rPr>
                <w:b/>
              </w:rPr>
              <w:t>$</w:t>
            </w:r>
          </w:p>
        </w:tc>
        <w:tc>
          <w:tcPr>
            <w:tcW w:w="863" w:type="dxa"/>
            <w:tcBorders/>
            <w:shd w:fill="CCEEFF" w:val="clear"/>
            <w:vAlign w:val="bottom"/>
          </w:tcPr>
          <w:p>
            <w:pPr>
              <w:pStyle w:val="TableContents"/>
              <w:bidi w:val="0"/>
              <w:spacing w:before="0" w:after="283"/>
              <w:jc w:val="right"/>
              <w:rPr>
                <w:b/>
              </w:rPr>
            </w:pPr>
            <w:r>
              <w:rPr>
                <w:b/>
              </w:rPr>
              <w:t>660</w:t>
            </w:r>
          </w:p>
        </w:tc>
        <w:tc>
          <w:tcPr>
            <w:tcW w:w="135"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b/>
              </w:rPr>
            </w:pPr>
            <w:r>
              <w:rPr>
                <w:b/>
              </w:rPr>
              <w:t>$</w:t>
            </w:r>
          </w:p>
        </w:tc>
        <w:tc>
          <w:tcPr>
            <w:tcW w:w="866" w:type="dxa"/>
            <w:tcBorders/>
            <w:shd w:fill="CCEEFF" w:val="clear"/>
            <w:vAlign w:val="bottom"/>
          </w:tcPr>
          <w:p>
            <w:pPr>
              <w:pStyle w:val="TableContents"/>
              <w:bidi w:val="0"/>
              <w:spacing w:before="0" w:after="283"/>
              <w:jc w:val="right"/>
              <w:rPr>
                <w:b/>
              </w:rPr>
            </w:pPr>
            <w:r>
              <w:rPr>
                <w:b/>
              </w:rPr>
              <w:t>568</w:t>
            </w:r>
          </w:p>
        </w:tc>
        <w:tc>
          <w:tcPr>
            <w:tcW w:w="65" w:type="dxa"/>
            <w:tcBorders/>
            <w:shd w:fill="CCEEFF" w:val="clear"/>
            <w:vAlign w:val="bottom"/>
          </w:tcPr>
          <w:p>
            <w:pPr>
              <w:pStyle w:val="TableContents"/>
              <w:bidi w:val="0"/>
              <w:spacing w:before="0" w:after="283"/>
              <w:jc w:val="left"/>
              <w:rPr/>
            </w:pPr>
            <w:r>
              <w:rPr/>
              <w:t> </w:t>
            </w:r>
          </w:p>
        </w:tc>
      </w:tr>
      <w:tr>
        <w:trPr/>
        <w:tc>
          <w:tcPr>
            <w:tcW w:w="272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double" w:sz="6" w:space="1" w:color="000000"/>
              </w:pBdr>
              <w:bidi w:val="0"/>
              <w:spacing w:before="0" w:after="0"/>
              <w:jc w:val="left"/>
              <w:rPr/>
            </w:pPr>
            <w:r>
              <w:rPr/>
              <w:t> </w:t>
            </w:r>
          </w:p>
        </w:tc>
        <w:tc>
          <w:tcPr>
            <w:tcW w:w="972" w:type="dxa"/>
            <w:tcBorders/>
            <w:vAlign w:val="bottom"/>
          </w:tcPr>
          <w:p>
            <w:pPr>
              <w:pStyle w:val="TableContents"/>
              <w:pBdr>
                <w:top w:val="double" w:sz="6"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double" w:sz="6" w:space="1" w:color="000000"/>
              </w:pBdr>
              <w:bidi w:val="0"/>
              <w:spacing w:before="0" w:after="0"/>
              <w:jc w:val="left"/>
              <w:rPr/>
            </w:pPr>
            <w:r>
              <w:rPr/>
              <w:t> </w:t>
            </w:r>
          </w:p>
        </w:tc>
        <w:tc>
          <w:tcPr>
            <w:tcW w:w="97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double" w:sz="6" w:space="1" w:color="000000"/>
              </w:pBdr>
              <w:bidi w:val="0"/>
              <w:spacing w:before="0" w:after="0"/>
              <w:jc w:val="left"/>
              <w:rPr/>
            </w:pPr>
            <w:r>
              <w:rPr/>
              <w:t> </w:t>
            </w:r>
          </w:p>
        </w:tc>
        <w:tc>
          <w:tcPr>
            <w:tcW w:w="863" w:type="dxa"/>
            <w:tcBorders/>
            <w:vAlign w:val="bottom"/>
          </w:tcPr>
          <w:p>
            <w:pPr>
              <w:pStyle w:val="TableContents"/>
              <w:pBdr>
                <w:top w:val="double" w:sz="6" w:space="1" w:color="000000"/>
              </w:pBdr>
              <w:bidi w:val="0"/>
              <w:spacing w:before="0" w:after="0"/>
              <w:jc w:val="left"/>
              <w:rPr/>
            </w:pPr>
            <w:r>
              <w:rPr/>
              <w:t> </w:t>
            </w:r>
          </w:p>
        </w:tc>
        <w:tc>
          <w:tcPr>
            <w:tcW w:w="135"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72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SUBLOCADE net revenue</w:t>
            </w:r>
          </w:p>
        </w:tc>
        <w:tc>
          <w:tcPr>
            <w:tcW w:w="22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b/>
              </w:rPr>
            </w:pPr>
            <w:r>
              <w:rPr>
                <w:b/>
              </w:rPr>
              <w:t>$</w:t>
            </w:r>
          </w:p>
        </w:tc>
        <w:tc>
          <w:tcPr>
            <w:tcW w:w="972" w:type="dxa"/>
            <w:tcBorders/>
            <w:vAlign w:val="bottom"/>
          </w:tcPr>
          <w:p>
            <w:pPr>
              <w:pStyle w:val="TableContents"/>
              <w:bidi w:val="0"/>
              <w:spacing w:before="0" w:after="283"/>
              <w:jc w:val="right"/>
              <w:rPr>
                <w:b/>
              </w:rPr>
            </w:pPr>
            <w:r>
              <w:rPr>
                <w:b/>
              </w:rPr>
              <w:t>253</w:t>
            </w:r>
          </w:p>
        </w:tc>
        <w:tc>
          <w:tcPr>
            <w:tcW w:w="15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b/>
              </w:rPr>
            </w:pPr>
            <w:r>
              <w:rPr>
                <w:b/>
              </w:rPr>
              <w:t>$</w:t>
            </w:r>
          </w:p>
        </w:tc>
        <w:tc>
          <w:tcPr>
            <w:tcW w:w="976" w:type="dxa"/>
            <w:tcBorders/>
            <w:vAlign w:val="bottom"/>
          </w:tcPr>
          <w:p>
            <w:pPr>
              <w:pStyle w:val="TableContents"/>
              <w:bidi w:val="0"/>
              <w:spacing w:before="0" w:after="283"/>
              <w:jc w:val="right"/>
              <w:rPr>
                <w:b/>
              </w:rPr>
            </w:pPr>
            <w:r>
              <w:rPr>
                <w:b/>
              </w:rPr>
              <w:t>209</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b/>
              </w:rPr>
            </w:pPr>
            <w:r>
              <w:rPr>
                <w:b/>
              </w:rPr>
              <w:t>$</w:t>
            </w:r>
          </w:p>
        </w:tc>
        <w:tc>
          <w:tcPr>
            <w:tcW w:w="863" w:type="dxa"/>
            <w:tcBorders/>
            <w:vAlign w:val="bottom"/>
          </w:tcPr>
          <w:p>
            <w:pPr>
              <w:pStyle w:val="TableContents"/>
              <w:bidi w:val="0"/>
              <w:spacing w:before="0" w:after="283"/>
              <w:jc w:val="right"/>
              <w:rPr>
                <w:b/>
              </w:rPr>
            </w:pPr>
            <w:r>
              <w:rPr>
                <w:b/>
              </w:rPr>
              <w:t>486</w:t>
            </w:r>
          </w:p>
        </w:tc>
        <w:tc>
          <w:tcPr>
            <w:tcW w:w="135"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b/>
              </w:rPr>
            </w:pPr>
            <w:r>
              <w:rPr>
                <w:b/>
              </w:rPr>
              <w:t>$</w:t>
            </w:r>
          </w:p>
        </w:tc>
        <w:tc>
          <w:tcPr>
            <w:tcW w:w="866" w:type="dxa"/>
            <w:tcBorders/>
            <w:vAlign w:val="bottom"/>
          </w:tcPr>
          <w:p>
            <w:pPr>
              <w:pStyle w:val="TableContents"/>
              <w:bidi w:val="0"/>
              <w:spacing w:before="0" w:after="283"/>
              <w:jc w:val="right"/>
              <w:rPr>
                <w:b/>
              </w:rPr>
            </w:pPr>
            <w:r>
              <w:rPr>
                <w:b/>
              </w:rPr>
              <w:t>385</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2"/>
        <w:gridCol w:w="9993"/>
      </w:tblGrid>
      <w:tr>
        <w:trPr/>
        <w:tc>
          <w:tcPr>
            <w:tcW w:w="212" w:type="dxa"/>
            <w:tcBorders/>
          </w:tcPr>
          <w:p>
            <w:pPr>
              <w:pStyle w:val="TableContents"/>
              <w:bidi w:val="0"/>
              <w:spacing w:before="0" w:after="283"/>
              <w:jc w:val="left"/>
              <w:rPr/>
            </w:pPr>
            <w:r>
              <w:rPr/>
              <w:t>1 </w:t>
            </w:r>
          </w:p>
        </w:tc>
        <w:tc>
          <w:tcPr>
            <w:tcW w:w="99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Marketing and promotion activities for PERSERIS were discontinued in 2024.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Reconciliation of GAAP to non-GAAP financial information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13"/>
        <w:gridCol w:w="256"/>
        <w:gridCol w:w="351"/>
        <w:gridCol w:w="976"/>
        <w:gridCol w:w="150"/>
        <w:gridCol w:w="432"/>
        <w:gridCol w:w="351"/>
        <w:gridCol w:w="980"/>
        <w:gridCol w:w="60"/>
        <w:gridCol w:w="256"/>
        <w:gridCol w:w="317"/>
        <w:gridCol w:w="862"/>
        <w:gridCol w:w="134"/>
        <w:gridCol w:w="403"/>
        <w:gridCol w:w="317"/>
        <w:gridCol w:w="865"/>
        <w:gridCol w:w="65"/>
      </w:tblGrid>
      <w:tr>
        <w:trPr/>
        <w:tc>
          <w:tcPr>
            <w:tcW w:w="2613"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1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32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289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65" w:type="dxa"/>
            <w:tcBorders/>
            <w:vAlign w:val="bottom"/>
          </w:tcPr>
          <w:p>
            <w:pPr>
              <w:pStyle w:val="TableContents"/>
              <w:bidi w:val="0"/>
              <w:spacing w:before="0" w:after="283"/>
              <w:jc w:val="left"/>
              <w:rPr/>
            </w:pPr>
            <w:r>
              <w:rPr/>
              <w:t> </w:t>
            </w:r>
          </w:p>
        </w:tc>
      </w:tr>
      <w:tr>
        <w:trPr/>
        <w:tc>
          <w:tcPr>
            <w:tcW w:w="261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34"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261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 operating expenses</w:t>
            </w:r>
          </w:p>
        </w:tc>
        <w:tc>
          <w:tcPr>
            <w:tcW w:w="256"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b/>
              </w:rPr>
            </w:pPr>
            <w:r>
              <w:rPr>
                <w:b/>
              </w:rPr>
              <w:t>$</w:t>
            </w:r>
          </w:p>
        </w:tc>
        <w:tc>
          <w:tcPr>
            <w:tcW w:w="976" w:type="dxa"/>
            <w:tcBorders/>
            <w:shd w:fill="CCEEFF" w:val="clear"/>
            <w:vAlign w:val="bottom"/>
          </w:tcPr>
          <w:p>
            <w:pPr>
              <w:pStyle w:val="TableContents"/>
              <w:bidi w:val="0"/>
              <w:spacing w:before="0" w:after="283"/>
              <w:jc w:val="right"/>
              <w:rPr>
                <w:b/>
              </w:rPr>
            </w:pPr>
            <w:r>
              <w:rPr>
                <w:b/>
              </w:rPr>
              <w:t>134</w:t>
            </w:r>
          </w:p>
        </w:tc>
        <w:tc>
          <w:tcPr>
            <w:tcW w:w="15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179</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b/>
              </w:rPr>
            </w:pPr>
            <w:r>
              <w:rPr>
                <w:b/>
              </w:rPr>
              <w:t>$</w:t>
            </w:r>
          </w:p>
        </w:tc>
        <w:tc>
          <w:tcPr>
            <w:tcW w:w="862" w:type="dxa"/>
            <w:tcBorders/>
            <w:shd w:fill="CCEEFF" w:val="clear"/>
            <w:vAlign w:val="bottom"/>
          </w:tcPr>
          <w:p>
            <w:pPr>
              <w:pStyle w:val="TableContents"/>
              <w:bidi w:val="0"/>
              <w:spacing w:before="0" w:after="283"/>
              <w:jc w:val="right"/>
              <w:rPr>
                <w:b/>
              </w:rPr>
            </w:pPr>
            <w:r>
              <w:rPr>
                <w:b/>
              </w:rPr>
              <w:t>273</w:t>
            </w:r>
          </w:p>
        </w:tc>
        <w:tc>
          <w:tcPr>
            <w:tcW w:w="134"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b/>
              </w:rPr>
            </w:pPr>
            <w:r>
              <w:rPr>
                <w:b/>
              </w:rPr>
              <w:t>$</w:t>
            </w:r>
          </w:p>
        </w:tc>
        <w:tc>
          <w:tcPr>
            <w:tcW w:w="865" w:type="dxa"/>
            <w:tcBorders/>
            <w:shd w:fill="CCEEFF" w:val="clear"/>
            <w:vAlign w:val="bottom"/>
          </w:tcPr>
          <w:p>
            <w:pPr>
              <w:pStyle w:val="TableContents"/>
              <w:bidi w:val="0"/>
              <w:spacing w:before="0" w:after="283"/>
              <w:jc w:val="right"/>
              <w:rPr>
                <w:b/>
              </w:rPr>
            </w:pPr>
            <w:r>
              <w:rPr>
                <w:b/>
              </w:rPr>
              <w:t>334</w:t>
            </w:r>
          </w:p>
        </w:tc>
        <w:tc>
          <w:tcPr>
            <w:tcW w:w="65" w:type="dxa"/>
            <w:tcBorders/>
            <w:shd w:fill="CCEEFF" w:val="clear"/>
            <w:vAlign w:val="bottom"/>
          </w:tcPr>
          <w:p>
            <w:pPr>
              <w:pStyle w:val="TableContents"/>
              <w:bidi w:val="0"/>
              <w:spacing w:before="0" w:after="283"/>
              <w:jc w:val="left"/>
              <w:rPr/>
            </w:pPr>
            <w:r>
              <w:rPr/>
              <w:t> </w:t>
            </w:r>
          </w:p>
        </w:tc>
      </w:tr>
      <w:tr>
        <w:trPr/>
        <w:tc>
          <w:tcPr>
            <w:tcW w:w="2613"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56"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11</w:t>
            </w:r>
          </w:p>
        </w:tc>
        <w:tc>
          <w:tcPr>
            <w:tcW w:w="15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20</w:t>
            </w:r>
          </w:p>
        </w:tc>
        <w:tc>
          <w:tcPr>
            <w:tcW w:w="134"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c>
          <w:tcPr>
            <w:tcW w:w="2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initiative transition1</w:t>
            </w:r>
          </w:p>
        </w:tc>
        <w:tc>
          <w:tcPr>
            <w:tcW w:w="256"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10</w:t>
            </w:r>
          </w:p>
        </w:tc>
        <w:tc>
          <w:tcPr>
            <w:tcW w:w="15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24</w:t>
            </w:r>
          </w:p>
        </w:tc>
        <w:tc>
          <w:tcPr>
            <w:tcW w:w="134"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5</w:t>
            </w:r>
          </w:p>
        </w:tc>
        <w:tc>
          <w:tcPr>
            <w:tcW w:w="65" w:type="dxa"/>
            <w:tcBorders/>
            <w:shd w:fill="CCEEFF" w:val="clear"/>
            <w:vAlign w:val="bottom"/>
          </w:tcPr>
          <w:p>
            <w:pPr>
              <w:pStyle w:val="TableContents"/>
              <w:bidi w:val="0"/>
              <w:spacing w:before="0" w:after="283"/>
              <w:jc w:val="left"/>
              <w:rPr/>
            </w:pPr>
            <w:r>
              <w:rPr/>
              <w:t> </w:t>
            </w:r>
          </w:p>
        </w:tc>
      </w:tr>
      <w:tr>
        <w:trPr/>
        <w:tc>
          <w:tcPr>
            <w:tcW w:w="2613" w:type="dxa"/>
            <w:tcBorders/>
          </w:tcPr>
          <w:p>
            <w:pPr>
              <w:pStyle w:val="TableContents"/>
              <w:bidi w:val="0"/>
              <w:spacing w:before="0" w:after="0"/>
              <w:jc w:val="left"/>
              <w:rPr>
                <w:rFonts w:ascii="Times New Roman" w:hAnsi="Times New Roman"/>
                <w:sz w:val="20"/>
              </w:rPr>
            </w:pPr>
            <w:r>
              <w:rPr>
                <w:rFonts w:ascii="Times New Roman" w:hAnsi="Times New Roman"/>
                <w:sz w:val="20"/>
              </w:rPr>
              <w:t>Litigation settlement expense</w:t>
            </w:r>
          </w:p>
        </w:tc>
        <w:tc>
          <w:tcPr>
            <w:tcW w:w="256"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c>
          <w:tcPr>
            <w:tcW w:w="2613"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34"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Adjustments in operating expenses</w:t>
            </w:r>
          </w:p>
        </w:tc>
        <w:tc>
          <w:tcPr>
            <w:tcW w:w="256"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22</w:t>
            </w:r>
          </w:p>
        </w:tc>
        <w:tc>
          <w:tcPr>
            <w:tcW w:w="15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45</w:t>
            </w:r>
          </w:p>
        </w:tc>
        <w:tc>
          <w:tcPr>
            <w:tcW w:w="134"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20</w:t>
            </w:r>
          </w:p>
        </w:tc>
        <w:tc>
          <w:tcPr>
            <w:tcW w:w="65" w:type="dxa"/>
            <w:tcBorders/>
            <w:shd w:fill="CCEEFF" w:val="clear"/>
            <w:vAlign w:val="bottom"/>
          </w:tcPr>
          <w:p>
            <w:pPr>
              <w:pStyle w:val="TableContents"/>
              <w:bidi w:val="0"/>
              <w:spacing w:before="0" w:after="283"/>
              <w:jc w:val="left"/>
              <w:rPr/>
            </w:pPr>
            <w:r>
              <w:rPr/>
              <w:t> </w:t>
            </w:r>
          </w:p>
        </w:tc>
      </w:tr>
      <w:tr>
        <w:trPr/>
        <w:tc>
          <w:tcPr>
            <w:tcW w:w="2613"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34"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13" w:type="dxa"/>
            <w:tcBorders/>
          </w:tcPr>
          <w:p>
            <w:pPr>
              <w:pStyle w:val="TableContents"/>
              <w:bidi w:val="0"/>
              <w:spacing w:before="0" w:after="0"/>
              <w:jc w:val="left"/>
              <w:rPr>
                <w:rFonts w:ascii="Times New Roman" w:hAnsi="Times New Roman"/>
                <w:b/>
                <w:sz w:val="20"/>
              </w:rPr>
            </w:pPr>
            <w:r>
              <w:rPr>
                <w:rFonts w:ascii="Times New Roman" w:hAnsi="Times New Roman"/>
                <w:b/>
                <w:sz w:val="20"/>
              </w:rPr>
              <w:t>Non-GAAP operating expenses</w:t>
            </w:r>
          </w:p>
        </w:tc>
        <w:tc>
          <w:tcPr>
            <w:tcW w:w="256"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b/>
              </w:rPr>
            </w:pPr>
            <w:r>
              <w:rPr>
                <w:b/>
              </w:rPr>
              <w:t>$</w:t>
            </w:r>
          </w:p>
        </w:tc>
        <w:tc>
          <w:tcPr>
            <w:tcW w:w="976" w:type="dxa"/>
            <w:tcBorders/>
            <w:vAlign w:val="bottom"/>
          </w:tcPr>
          <w:p>
            <w:pPr>
              <w:pStyle w:val="TableContents"/>
              <w:bidi w:val="0"/>
              <w:spacing w:before="0" w:after="283"/>
              <w:jc w:val="right"/>
              <w:rPr>
                <w:b/>
              </w:rPr>
            </w:pPr>
            <w:r>
              <w:rPr>
                <w:b/>
              </w:rPr>
              <w:t>112</w:t>
            </w:r>
          </w:p>
        </w:tc>
        <w:tc>
          <w:tcPr>
            <w:tcW w:w="15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167</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b/>
              </w:rPr>
            </w:pPr>
            <w:r>
              <w:rPr>
                <w:b/>
              </w:rPr>
              <w:t>$</w:t>
            </w:r>
          </w:p>
        </w:tc>
        <w:tc>
          <w:tcPr>
            <w:tcW w:w="862" w:type="dxa"/>
            <w:tcBorders/>
            <w:vAlign w:val="bottom"/>
          </w:tcPr>
          <w:p>
            <w:pPr>
              <w:pStyle w:val="TableContents"/>
              <w:bidi w:val="0"/>
              <w:spacing w:before="0" w:after="283"/>
              <w:jc w:val="right"/>
              <w:rPr>
                <w:b/>
              </w:rPr>
            </w:pPr>
            <w:r>
              <w:rPr>
                <w:b/>
              </w:rPr>
              <w:t>229</w:t>
            </w:r>
          </w:p>
        </w:tc>
        <w:tc>
          <w:tcPr>
            <w:tcW w:w="134"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b/>
              </w:rPr>
            </w:pPr>
            <w:r>
              <w:rPr>
                <w:b/>
              </w:rPr>
              <w:t>$</w:t>
            </w:r>
          </w:p>
        </w:tc>
        <w:tc>
          <w:tcPr>
            <w:tcW w:w="865" w:type="dxa"/>
            <w:tcBorders/>
            <w:vAlign w:val="bottom"/>
          </w:tcPr>
          <w:p>
            <w:pPr>
              <w:pStyle w:val="TableContents"/>
              <w:bidi w:val="0"/>
              <w:spacing w:before="0" w:after="283"/>
              <w:jc w:val="right"/>
              <w:rPr>
                <w:b/>
              </w:rPr>
            </w:pPr>
            <w:r>
              <w:rPr>
                <w:b/>
              </w:rPr>
              <w:t>313</w:t>
            </w:r>
          </w:p>
        </w:tc>
        <w:tc>
          <w:tcPr>
            <w:tcW w:w="65" w:type="dxa"/>
            <w:tcBorders/>
            <w:vAlign w:val="bottom"/>
          </w:tcPr>
          <w:p>
            <w:pPr>
              <w:pStyle w:val="TableContents"/>
              <w:bidi w:val="0"/>
              <w:spacing w:before="0" w:after="283"/>
              <w:jc w:val="left"/>
              <w:rPr/>
            </w:pPr>
            <w:r>
              <w:rPr/>
              <w:t> </w:t>
            </w:r>
          </w:p>
        </w:tc>
      </w:tr>
      <w:tr>
        <w:trPr/>
        <w:tc>
          <w:tcPr>
            <w:tcW w:w="2613"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double" w:sz="6" w:space="1" w:color="000000"/>
              </w:pBdr>
              <w:bidi w:val="0"/>
              <w:spacing w:before="0" w:after="0"/>
              <w:jc w:val="left"/>
              <w:rPr/>
            </w:pPr>
            <w:r>
              <w:rPr/>
              <w:t> </w:t>
            </w:r>
          </w:p>
        </w:tc>
        <w:tc>
          <w:tcPr>
            <w:tcW w:w="976" w:type="dxa"/>
            <w:tcBorders/>
            <w:vAlign w:val="bottom"/>
          </w:tcPr>
          <w:p>
            <w:pPr>
              <w:pStyle w:val="TableContents"/>
              <w:pBdr>
                <w:top w:val="double" w:sz="6"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351"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double" w:sz="6" w:space="1" w:color="000000"/>
              </w:pBdr>
              <w:bidi w:val="0"/>
              <w:spacing w:before="0" w:after="0"/>
              <w:jc w:val="left"/>
              <w:rPr/>
            </w:pPr>
            <w:r>
              <w:rPr/>
              <w:t> </w:t>
            </w:r>
          </w:p>
        </w:tc>
        <w:tc>
          <w:tcPr>
            <w:tcW w:w="862" w:type="dxa"/>
            <w:tcBorders/>
            <w:vAlign w:val="bottom"/>
          </w:tcPr>
          <w:p>
            <w:pPr>
              <w:pStyle w:val="TableContents"/>
              <w:pBdr>
                <w:top w:val="double" w:sz="6" w:space="1" w:color="000000"/>
              </w:pBdr>
              <w:bidi w:val="0"/>
              <w:spacing w:before="0" w:after="0"/>
              <w:jc w:val="left"/>
              <w:rPr/>
            </w:pPr>
            <w:r>
              <w:rPr/>
              <w:t> </w:t>
            </w:r>
          </w:p>
        </w:tc>
        <w:tc>
          <w:tcPr>
            <w:tcW w:w="134"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317"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0"/>
        <w:gridCol w:w="9995"/>
      </w:tblGrid>
      <w:tr>
        <w:trPr/>
        <w:tc>
          <w:tcPr>
            <w:tcW w:w="210" w:type="dxa"/>
            <w:tcBorders/>
          </w:tcPr>
          <w:p>
            <w:pPr>
              <w:pStyle w:val="TableContents"/>
              <w:bidi w:val="0"/>
              <w:spacing w:before="0" w:after="283"/>
              <w:jc w:val="left"/>
              <w:rPr/>
            </w:pPr>
            <w:r>
              <w:rPr/>
              <w:t>1 </w:t>
            </w:r>
          </w:p>
        </w:tc>
        <w:tc>
          <w:tcPr>
            <w:tcW w:w="99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severance, consulting, impairment, and costs related to planned facility closures.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Non-GAAP diluted earnings per share </w:t>
      </w:r>
    </w:p>
    <w:p>
      <w:pPr>
        <w:pStyle w:val="TextBody"/>
        <w:bidi w:val="0"/>
        <w:spacing w:before="120" w:after="0"/>
        <w:jc w:val="left"/>
        <w:rPr>
          <w:rFonts w:ascii="Times New Roman" w:hAnsi="Times New Roman"/>
          <w:sz w:val="20"/>
        </w:rPr>
      </w:pPr>
      <w:r>
        <w:rPr>
          <w:rFonts w:ascii="Times New Roman" w:hAnsi="Times New Roman"/>
          <w:sz w:val="20"/>
        </w:rPr>
        <w:t xml:space="preserve">Management believes that non-GAAP diluted earnings per share, which excludes the impact of certain non-recurring items and other adjustments, net of applicable tax effects, may provide useful information to shareholders regarding underlying trends in earnings per share. A reconciliation of GAAP net income to non-GAAP net income, as well as the weighted average shares used in computing non-GAAP diluted earnings per share, is included in the table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05"/>
        <w:gridCol w:w="252"/>
        <w:gridCol w:w="299"/>
        <w:gridCol w:w="941"/>
        <w:gridCol w:w="331"/>
        <w:gridCol w:w="359"/>
        <w:gridCol w:w="299"/>
        <w:gridCol w:w="943"/>
        <w:gridCol w:w="60"/>
        <w:gridCol w:w="252"/>
        <w:gridCol w:w="269"/>
        <w:gridCol w:w="853"/>
        <w:gridCol w:w="298"/>
        <w:gridCol w:w="334"/>
        <w:gridCol w:w="269"/>
        <w:gridCol w:w="857"/>
        <w:gridCol w:w="67"/>
      </w:tblGrid>
      <w:tr>
        <w:trPr/>
        <w:tc>
          <w:tcPr>
            <w:tcW w:w="2705"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70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1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8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67" w:type="dxa"/>
            <w:tcBorders/>
            <w:vAlign w:val="bottom"/>
          </w:tcPr>
          <w:p>
            <w:pPr>
              <w:pStyle w:val="TableContents"/>
              <w:bidi w:val="0"/>
              <w:spacing w:before="0" w:after="283"/>
              <w:jc w:val="left"/>
              <w:rPr/>
            </w:pPr>
            <w:r>
              <w:rPr/>
              <w:t> </w:t>
            </w:r>
          </w:p>
        </w:tc>
      </w:tr>
      <w:tr>
        <w:trPr/>
        <w:tc>
          <w:tcPr>
            <w:tcW w:w="270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31"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98"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rPr/>
            </w:pPr>
            <w:r>
              <w:rPr/>
              <w:t> </w:t>
            </w:r>
          </w:p>
        </w:tc>
      </w:tr>
      <w:tr>
        <w:trPr/>
        <w:tc>
          <w:tcPr>
            <w:tcW w:w="2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 net income</w:t>
            </w:r>
          </w:p>
        </w:tc>
        <w:tc>
          <w:tcPr>
            <w:tcW w:w="252"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b/>
              </w:rPr>
            </w:pPr>
            <w:r>
              <w:rPr>
                <w:b/>
              </w:rPr>
              <w:t>$</w:t>
            </w:r>
          </w:p>
        </w:tc>
        <w:tc>
          <w:tcPr>
            <w:tcW w:w="941" w:type="dxa"/>
            <w:tcBorders/>
            <w:shd w:fill="CCEEFF" w:val="clear"/>
            <w:vAlign w:val="bottom"/>
          </w:tcPr>
          <w:p>
            <w:pPr>
              <w:pStyle w:val="TableContents"/>
              <w:bidi w:val="0"/>
              <w:spacing w:before="0" w:after="283"/>
              <w:jc w:val="right"/>
              <w:rPr>
                <w:b/>
              </w:rPr>
            </w:pPr>
            <w:r>
              <w:rPr>
                <w:b/>
              </w:rPr>
              <w:t>122</w:t>
            </w:r>
          </w:p>
        </w:tc>
        <w:tc>
          <w:tcPr>
            <w:tcW w:w="33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b/>
              </w:rPr>
            </w:pPr>
            <w:r>
              <w:rPr>
                <w:b/>
              </w:rPr>
              <w:t>$</w:t>
            </w:r>
          </w:p>
        </w:tc>
        <w:tc>
          <w:tcPr>
            <w:tcW w:w="943" w:type="dxa"/>
            <w:tcBorders/>
            <w:shd w:fill="CCEEFF" w:val="clear"/>
            <w:vAlign w:val="bottom"/>
          </w:tcPr>
          <w:p>
            <w:pPr>
              <w:pStyle w:val="TableContents"/>
              <w:bidi w:val="0"/>
              <w:spacing w:before="0" w:after="283"/>
              <w:jc w:val="right"/>
              <w:rPr>
                <w:b/>
              </w:rPr>
            </w:pPr>
            <w:r>
              <w:rPr>
                <w:b/>
              </w:rPr>
              <w:t>18</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b/>
              </w:rPr>
            </w:pPr>
            <w:r>
              <w:rPr>
                <w:b/>
              </w:rPr>
              <w:t>$</w:t>
            </w:r>
          </w:p>
        </w:tc>
        <w:tc>
          <w:tcPr>
            <w:tcW w:w="853" w:type="dxa"/>
            <w:tcBorders/>
            <w:shd w:fill="CCEEFF" w:val="clear"/>
            <w:vAlign w:val="bottom"/>
          </w:tcPr>
          <w:p>
            <w:pPr>
              <w:pStyle w:val="TableContents"/>
              <w:bidi w:val="0"/>
              <w:spacing w:before="0" w:after="283"/>
              <w:jc w:val="right"/>
              <w:rPr>
                <w:b/>
              </w:rPr>
            </w:pPr>
            <w:r>
              <w:rPr>
                <w:b/>
              </w:rPr>
              <w:t>211</w:t>
            </w:r>
          </w:p>
        </w:tc>
        <w:tc>
          <w:tcPr>
            <w:tcW w:w="298"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b/>
              </w:rPr>
            </w:pPr>
            <w:r>
              <w:rPr>
                <w:b/>
              </w:rPr>
              <w:t>$</w:t>
            </w:r>
          </w:p>
        </w:tc>
        <w:tc>
          <w:tcPr>
            <w:tcW w:w="857" w:type="dxa"/>
            <w:tcBorders/>
            <w:shd w:fill="CCEEFF" w:val="clear"/>
            <w:vAlign w:val="bottom"/>
          </w:tcPr>
          <w:p>
            <w:pPr>
              <w:pStyle w:val="TableContents"/>
              <w:bidi w:val="0"/>
              <w:spacing w:before="0" w:after="283"/>
              <w:jc w:val="right"/>
              <w:rPr>
                <w:b/>
              </w:rPr>
            </w:pPr>
            <w:r>
              <w:rPr>
                <w:b/>
              </w:rPr>
              <w:t>65</w:t>
            </w:r>
          </w:p>
        </w:tc>
        <w:tc>
          <w:tcPr>
            <w:tcW w:w="67" w:type="dxa"/>
            <w:tcBorders/>
            <w:shd w:fill="CCEEFF" w:val="clear"/>
            <w:vAlign w:val="bottom"/>
          </w:tcPr>
          <w:p>
            <w:pPr>
              <w:pStyle w:val="TableContents"/>
              <w:bidi w:val="0"/>
              <w:spacing w:before="0" w:after="283"/>
              <w:jc w:val="left"/>
              <w:rPr/>
            </w:pPr>
            <w:r>
              <w:rPr/>
              <w:t> </w:t>
            </w:r>
          </w:p>
        </w:tc>
      </w:tr>
      <w:tr>
        <w:trPr/>
        <w:tc>
          <w:tcPr>
            <w:tcW w:w="2705"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in cost of sales1</w:t>
            </w:r>
          </w:p>
        </w:tc>
        <w:tc>
          <w:tcPr>
            <w:tcW w:w="252"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4</w:t>
            </w:r>
          </w:p>
        </w:tc>
        <w:tc>
          <w:tcPr>
            <w:tcW w:w="331"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5</w:t>
            </w:r>
          </w:p>
        </w:tc>
        <w:tc>
          <w:tcPr>
            <w:tcW w:w="298"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2</w:t>
            </w:r>
          </w:p>
        </w:tc>
        <w:tc>
          <w:tcPr>
            <w:tcW w:w="67" w:type="dxa"/>
            <w:tcBorders/>
            <w:vAlign w:val="bottom"/>
          </w:tcPr>
          <w:p>
            <w:pPr>
              <w:pStyle w:val="TableContents"/>
              <w:bidi w:val="0"/>
              <w:spacing w:before="0" w:after="283"/>
              <w:jc w:val="left"/>
              <w:rPr/>
            </w:pPr>
            <w:r>
              <w:rPr/>
              <w:t> </w:t>
            </w:r>
          </w:p>
        </w:tc>
      </w:tr>
      <w:tr>
        <w:trPr/>
        <w:tc>
          <w:tcPr>
            <w:tcW w:w="2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in operating expenses</w:t>
            </w:r>
          </w:p>
        </w:tc>
        <w:tc>
          <w:tcPr>
            <w:tcW w:w="252"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22</w:t>
            </w:r>
          </w:p>
        </w:tc>
        <w:tc>
          <w:tcPr>
            <w:tcW w:w="33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45</w:t>
            </w:r>
          </w:p>
        </w:tc>
        <w:tc>
          <w:tcPr>
            <w:tcW w:w="298"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20</w:t>
            </w:r>
          </w:p>
        </w:tc>
        <w:tc>
          <w:tcPr>
            <w:tcW w:w="67" w:type="dxa"/>
            <w:tcBorders/>
            <w:shd w:fill="CCEEFF" w:val="clear"/>
            <w:vAlign w:val="bottom"/>
          </w:tcPr>
          <w:p>
            <w:pPr>
              <w:pStyle w:val="TableContents"/>
              <w:bidi w:val="0"/>
              <w:spacing w:before="0" w:after="283"/>
              <w:jc w:val="left"/>
              <w:rPr/>
            </w:pPr>
            <w:r>
              <w:rPr/>
              <w:t> </w:t>
            </w:r>
          </w:p>
        </w:tc>
      </w:tr>
      <w:tr>
        <w:trPr/>
        <w:tc>
          <w:tcPr>
            <w:tcW w:w="2705"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in interest expense</w:t>
            </w:r>
          </w:p>
        </w:tc>
        <w:tc>
          <w:tcPr>
            <w:tcW w:w="252"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331"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— </w:t>
            </w:r>
          </w:p>
        </w:tc>
        <w:tc>
          <w:tcPr>
            <w:tcW w:w="298"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4</w:t>
            </w:r>
          </w:p>
        </w:tc>
        <w:tc>
          <w:tcPr>
            <w:tcW w:w="67" w:type="dxa"/>
            <w:tcBorders/>
            <w:vAlign w:val="bottom"/>
          </w:tcPr>
          <w:p>
            <w:pPr>
              <w:pStyle w:val="TableContents"/>
              <w:bidi w:val="0"/>
              <w:spacing w:before="0" w:after="283"/>
              <w:jc w:val="left"/>
              <w:rPr/>
            </w:pPr>
            <w:r>
              <w:rPr/>
              <w:t> </w:t>
            </w:r>
          </w:p>
        </w:tc>
      </w:tr>
      <w:tr>
        <w:trPr/>
        <w:tc>
          <w:tcPr>
            <w:tcW w:w="2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252"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18</w:t>
            </w:r>
          </w:p>
        </w:tc>
        <w:tc>
          <w:tcPr>
            <w:tcW w:w="298"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705"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in tax expenses</w:t>
            </w:r>
          </w:p>
        </w:tc>
        <w:tc>
          <w:tcPr>
            <w:tcW w:w="252"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(5</w:t>
            </w:r>
          </w:p>
        </w:tc>
        <w:tc>
          <w:tcPr>
            <w:tcW w:w="331"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(14</w:t>
            </w:r>
          </w:p>
        </w:tc>
        <w:tc>
          <w:tcPr>
            <w:tcW w:w="298"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29</w:t>
            </w:r>
          </w:p>
        </w:tc>
        <w:tc>
          <w:tcPr>
            <w:tcW w:w="67" w:type="dxa"/>
            <w:tcBorders/>
            <w:vAlign w:val="bottom"/>
          </w:tcPr>
          <w:p>
            <w:pPr>
              <w:pStyle w:val="TableContents"/>
              <w:bidi w:val="0"/>
              <w:spacing w:before="0" w:after="283"/>
              <w:jc w:val="left"/>
              <w:rPr/>
            </w:pPr>
            <w:r>
              <w:rPr/>
              <w:t> </w:t>
            </w:r>
          </w:p>
        </w:tc>
      </w:tr>
      <w:tr>
        <w:trPr/>
        <w:tc>
          <w:tcPr>
            <w:tcW w:w="270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331" w:type="dxa"/>
            <w:tcBorders/>
            <w:vAlign w:val="center"/>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9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298"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85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net income</w:t>
            </w:r>
          </w:p>
        </w:tc>
        <w:tc>
          <w:tcPr>
            <w:tcW w:w="252"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b/>
              </w:rPr>
            </w:pPr>
            <w:r>
              <w:rPr>
                <w:b/>
              </w:rPr>
              <w:t>$</w:t>
            </w:r>
          </w:p>
        </w:tc>
        <w:tc>
          <w:tcPr>
            <w:tcW w:w="941" w:type="dxa"/>
            <w:tcBorders/>
            <w:shd w:fill="CCEEFF" w:val="clear"/>
            <w:vAlign w:val="bottom"/>
          </w:tcPr>
          <w:p>
            <w:pPr>
              <w:pStyle w:val="TableContents"/>
              <w:bidi w:val="0"/>
              <w:spacing w:before="0" w:after="283"/>
              <w:jc w:val="right"/>
              <w:rPr>
                <w:b/>
              </w:rPr>
            </w:pPr>
            <w:r>
              <w:rPr>
                <w:b/>
              </w:rPr>
              <w:t>142</w:t>
            </w:r>
          </w:p>
        </w:tc>
        <w:tc>
          <w:tcPr>
            <w:tcW w:w="33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b/>
              </w:rPr>
            </w:pPr>
            <w:r>
              <w:rPr>
                <w:b/>
              </w:rPr>
              <w:t>$</w:t>
            </w:r>
          </w:p>
        </w:tc>
        <w:tc>
          <w:tcPr>
            <w:tcW w:w="943" w:type="dxa"/>
            <w:tcBorders/>
            <w:shd w:fill="CCEEFF" w:val="clear"/>
            <w:vAlign w:val="bottom"/>
          </w:tcPr>
          <w:p>
            <w:pPr>
              <w:pStyle w:val="TableContents"/>
              <w:bidi w:val="0"/>
              <w:spacing w:before="0" w:after="283"/>
              <w:jc w:val="right"/>
              <w:rPr>
                <w:b/>
              </w:rPr>
            </w:pPr>
            <w:r>
              <w:rPr>
                <w:b/>
              </w:rPr>
              <w:t>64</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b/>
              </w:rPr>
            </w:pPr>
            <w:r>
              <w:rPr>
                <w:b/>
              </w:rPr>
              <w:t>$</w:t>
            </w:r>
          </w:p>
        </w:tc>
        <w:tc>
          <w:tcPr>
            <w:tcW w:w="853" w:type="dxa"/>
            <w:tcBorders/>
            <w:shd w:fill="CCEEFF" w:val="clear"/>
            <w:vAlign w:val="bottom"/>
          </w:tcPr>
          <w:p>
            <w:pPr>
              <w:pStyle w:val="TableContents"/>
              <w:bidi w:val="0"/>
              <w:spacing w:before="0" w:after="283"/>
              <w:jc w:val="right"/>
              <w:rPr>
                <w:b/>
              </w:rPr>
            </w:pPr>
            <w:r>
              <w:rPr>
                <w:b/>
              </w:rPr>
              <w:t>266</w:t>
            </w:r>
          </w:p>
        </w:tc>
        <w:tc>
          <w:tcPr>
            <w:tcW w:w="298"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b/>
              </w:rPr>
            </w:pPr>
            <w:r>
              <w:rPr>
                <w:b/>
              </w:rPr>
              <w:t>$</w:t>
            </w:r>
          </w:p>
        </w:tc>
        <w:tc>
          <w:tcPr>
            <w:tcW w:w="857" w:type="dxa"/>
            <w:tcBorders/>
            <w:shd w:fill="CCEEFF" w:val="clear"/>
            <w:vAlign w:val="bottom"/>
          </w:tcPr>
          <w:p>
            <w:pPr>
              <w:pStyle w:val="TableContents"/>
              <w:bidi w:val="0"/>
              <w:spacing w:before="0" w:after="283"/>
              <w:jc w:val="right"/>
              <w:rPr>
                <w:b/>
              </w:rPr>
            </w:pPr>
            <w:r>
              <w:rPr>
                <w:b/>
              </w:rPr>
              <w:t>121</w:t>
            </w:r>
          </w:p>
        </w:tc>
        <w:tc>
          <w:tcPr>
            <w:tcW w:w="67" w:type="dxa"/>
            <w:tcBorders/>
            <w:shd w:fill="CCEEFF" w:val="clear"/>
            <w:vAlign w:val="bottom"/>
          </w:tcPr>
          <w:p>
            <w:pPr>
              <w:pStyle w:val="TableContents"/>
              <w:bidi w:val="0"/>
              <w:spacing w:before="0" w:after="283"/>
              <w:jc w:val="left"/>
              <w:rPr/>
            </w:pPr>
            <w:r>
              <w:rPr/>
              <w:t> </w:t>
            </w:r>
          </w:p>
        </w:tc>
      </w:tr>
      <w:tr>
        <w:trPr/>
        <w:tc>
          <w:tcPr>
            <w:tcW w:w="270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331" w:type="dxa"/>
            <w:tcBorders/>
            <w:vAlign w:val="center"/>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298"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85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705" w:type="dxa"/>
            <w:tcBorders/>
          </w:tcPr>
          <w:p>
            <w:pPr>
              <w:pStyle w:val="TableContents"/>
              <w:bidi w:val="0"/>
              <w:spacing w:before="0" w:after="0"/>
              <w:jc w:val="left"/>
              <w:rPr>
                <w:rFonts w:ascii="Times New Roman" w:hAnsi="Times New Roman"/>
                <w:sz w:val="20"/>
              </w:rPr>
            </w:pPr>
            <w:r>
              <w:rPr>
                <w:rFonts w:ascii="Times New Roman" w:hAnsi="Times New Roman"/>
                <w:sz w:val="20"/>
              </w:rPr>
              <w:t>Shares used in computing diluted non-GAAP earnings per share</w:t>
            </w:r>
          </w:p>
        </w:tc>
        <w:tc>
          <w:tcPr>
            <w:tcW w:w="252"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124</w:t>
            </w:r>
          </w:p>
        </w:tc>
        <w:tc>
          <w:tcPr>
            <w:tcW w:w="331"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126</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127</w:t>
            </w:r>
          </w:p>
        </w:tc>
        <w:tc>
          <w:tcPr>
            <w:tcW w:w="298"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125</w:t>
            </w:r>
          </w:p>
        </w:tc>
        <w:tc>
          <w:tcPr>
            <w:tcW w:w="67" w:type="dxa"/>
            <w:tcBorders/>
            <w:vAlign w:val="bottom"/>
          </w:tcPr>
          <w:p>
            <w:pPr>
              <w:pStyle w:val="TableContents"/>
              <w:bidi w:val="0"/>
              <w:spacing w:before="0" w:after="283"/>
              <w:jc w:val="left"/>
              <w:rPr/>
            </w:pPr>
            <w:r>
              <w:rPr/>
              <w:t> </w:t>
            </w:r>
          </w:p>
        </w:tc>
      </w:tr>
      <w:tr>
        <w:trPr/>
        <w:tc>
          <w:tcPr>
            <w:tcW w:w="270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331" w:type="dxa"/>
            <w:tcBorders/>
            <w:vAlign w:val="center"/>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single" w:sz="2" w:space="1" w:color="000000"/>
              </w:pBdr>
              <w:bidi w:val="0"/>
              <w:spacing w:before="0" w:after="0"/>
              <w:jc w:val="left"/>
              <w:rPr/>
            </w:pPr>
            <w:r>
              <w:rPr/>
              <w:t> </w:t>
            </w:r>
          </w:p>
        </w:tc>
        <w:tc>
          <w:tcPr>
            <w:tcW w:w="9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298"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85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diluted earnings per share</w:t>
            </w:r>
          </w:p>
        </w:tc>
        <w:tc>
          <w:tcPr>
            <w:tcW w:w="252"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b/>
              </w:rPr>
            </w:pPr>
            <w:r>
              <w:rPr>
                <w:b/>
              </w:rPr>
              <w:t>$</w:t>
            </w:r>
          </w:p>
        </w:tc>
        <w:tc>
          <w:tcPr>
            <w:tcW w:w="941" w:type="dxa"/>
            <w:tcBorders/>
            <w:shd w:fill="CCEEFF" w:val="clear"/>
            <w:vAlign w:val="bottom"/>
          </w:tcPr>
          <w:p>
            <w:pPr>
              <w:pStyle w:val="TableContents"/>
              <w:bidi w:val="0"/>
              <w:spacing w:before="0" w:after="283"/>
              <w:jc w:val="right"/>
              <w:rPr>
                <w:b/>
              </w:rPr>
            </w:pPr>
            <w:r>
              <w:rPr>
                <w:b/>
              </w:rPr>
              <w:t>1.15</w:t>
            </w:r>
          </w:p>
        </w:tc>
        <w:tc>
          <w:tcPr>
            <w:tcW w:w="33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b/>
              </w:rPr>
            </w:pPr>
            <w:r>
              <w:rPr>
                <w:b/>
              </w:rPr>
              <w:t>$</w:t>
            </w:r>
          </w:p>
        </w:tc>
        <w:tc>
          <w:tcPr>
            <w:tcW w:w="943" w:type="dxa"/>
            <w:tcBorders/>
            <w:shd w:fill="CCEEFF" w:val="clear"/>
            <w:vAlign w:val="bottom"/>
          </w:tcPr>
          <w:p>
            <w:pPr>
              <w:pStyle w:val="TableContents"/>
              <w:bidi w:val="0"/>
              <w:spacing w:before="0" w:after="283"/>
              <w:jc w:val="right"/>
              <w:rPr>
                <w:b/>
              </w:rPr>
            </w:pPr>
            <w:r>
              <w:rPr>
                <w:b/>
              </w:rPr>
              <w:t>0.51</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b/>
              </w:rPr>
            </w:pPr>
            <w:r>
              <w:rPr>
                <w:b/>
              </w:rPr>
              <w:t>$</w:t>
            </w:r>
          </w:p>
        </w:tc>
        <w:tc>
          <w:tcPr>
            <w:tcW w:w="853" w:type="dxa"/>
            <w:tcBorders/>
            <w:shd w:fill="CCEEFF" w:val="clear"/>
            <w:vAlign w:val="bottom"/>
          </w:tcPr>
          <w:p>
            <w:pPr>
              <w:pStyle w:val="TableContents"/>
              <w:bidi w:val="0"/>
              <w:spacing w:before="0" w:after="283"/>
              <w:jc w:val="right"/>
              <w:rPr>
                <w:b/>
              </w:rPr>
            </w:pPr>
            <w:r>
              <w:rPr>
                <w:b/>
              </w:rPr>
              <w:t>2.10</w:t>
            </w:r>
          </w:p>
        </w:tc>
        <w:tc>
          <w:tcPr>
            <w:tcW w:w="298"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b/>
              </w:rPr>
            </w:pPr>
            <w:r>
              <w:rPr>
                <w:b/>
              </w:rPr>
              <w:t>$</w:t>
            </w:r>
          </w:p>
        </w:tc>
        <w:tc>
          <w:tcPr>
            <w:tcW w:w="857" w:type="dxa"/>
            <w:tcBorders/>
            <w:shd w:fill="CCEEFF" w:val="clear"/>
            <w:vAlign w:val="bottom"/>
          </w:tcPr>
          <w:p>
            <w:pPr>
              <w:pStyle w:val="TableContents"/>
              <w:bidi w:val="0"/>
              <w:spacing w:before="0" w:after="283"/>
              <w:jc w:val="right"/>
              <w:rPr>
                <w:b/>
              </w:rPr>
            </w:pPr>
            <w:r>
              <w:rPr>
                <w:b/>
              </w:rPr>
              <w:t>0.96</w:t>
            </w:r>
          </w:p>
        </w:tc>
        <w:tc>
          <w:tcPr>
            <w:tcW w:w="67" w:type="dxa"/>
            <w:tcBorders/>
            <w:shd w:fill="CCEEFF" w:val="clear"/>
            <w:vAlign w:val="bottom"/>
          </w:tcPr>
          <w:p>
            <w:pPr>
              <w:pStyle w:val="TableContents"/>
              <w:bidi w:val="0"/>
              <w:spacing w:before="0" w:after="283"/>
              <w:jc w:val="left"/>
              <w:rPr/>
            </w:pPr>
            <w:r>
              <w:rPr/>
              <w:t> </w:t>
            </w:r>
          </w:p>
        </w:tc>
      </w:tr>
      <w:tr>
        <w:trPr/>
        <w:tc>
          <w:tcPr>
            <w:tcW w:w="270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331" w:type="dxa"/>
            <w:tcBorders/>
            <w:vAlign w:val="center"/>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99"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298"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85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1 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manufacturing transition and other costs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Indivior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(Amounts in millions, except per share data and percentages)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360" w:after="0"/>
        <w:jc w:val="left"/>
        <w:rPr>
          <w:rFonts w:ascii="Times New Roman" w:hAnsi="Times New Roman"/>
          <w:b/>
          <w:sz w:val="20"/>
        </w:rPr>
      </w:pPr>
      <w:r>
        <w:rPr>
          <w:rFonts w:ascii="Times New Roman" w:hAnsi="Times New Roman"/>
          <w:b/>
          <w:sz w:val="20"/>
        </w:rPr>
        <w:t xml:space="preserve">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is a non-GAAP financial measure that represents GAAP net income adjusted to exclude interest expense, interest income, income tax expense or benefit, depreciation and amortization, stock-based compensation, and other adjustments reflecting changes in our business that do not represent ongoing operations. Adjusted EBITDA, as used by us, may be calculated differently from, and therefore may not be comparable to, similarly titled measures used by other companies.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22"/>
        <w:gridCol w:w="254"/>
        <w:gridCol w:w="326"/>
        <w:gridCol w:w="886"/>
        <w:gridCol w:w="361"/>
        <w:gridCol w:w="390"/>
        <w:gridCol w:w="326"/>
        <w:gridCol w:w="889"/>
        <w:gridCol w:w="155"/>
        <w:gridCol w:w="235"/>
        <w:gridCol w:w="294"/>
        <w:gridCol w:w="802"/>
        <w:gridCol w:w="325"/>
        <w:gridCol w:w="364"/>
        <w:gridCol w:w="294"/>
        <w:gridCol w:w="804"/>
        <w:gridCol w:w="161"/>
      </w:tblGrid>
      <w:tr>
        <w:trPr/>
        <w:tc>
          <w:tcPr>
            <w:tcW w:w="2522"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2"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31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8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1" w:type="dxa"/>
            <w:tcBorders/>
            <w:vAlign w:val="bottom"/>
          </w:tcPr>
          <w:p>
            <w:pPr>
              <w:pStyle w:val="TableContents"/>
              <w:bidi w:val="0"/>
              <w:spacing w:before="0" w:after="283"/>
              <w:jc w:val="left"/>
              <w:rPr/>
            </w:pPr>
            <w:r>
              <w:rPr/>
              <w:t> </w:t>
            </w:r>
          </w:p>
        </w:tc>
      </w:tr>
      <w:tr>
        <w:trPr/>
        <w:tc>
          <w:tcPr>
            <w:tcW w:w="2522"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61"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2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0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54"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b/>
              </w:rPr>
            </w:pPr>
            <w:r>
              <w:rPr>
                <w:b/>
              </w:rPr>
              <w:t>$</w:t>
            </w:r>
          </w:p>
        </w:tc>
        <w:tc>
          <w:tcPr>
            <w:tcW w:w="886" w:type="dxa"/>
            <w:tcBorders/>
            <w:shd w:fill="CCEEFF" w:val="clear"/>
            <w:vAlign w:val="bottom"/>
          </w:tcPr>
          <w:p>
            <w:pPr>
              <w:pStyle w:val="TableContents"/>
              <w:bidi w:val="0"/>
              <w:spacing w:before="0" w:after="283"/>
              <w:jc w:val="right"/>
              <w:rPr>
                <w:b/>
              </w:rPr>
            </w:pPr>
            <w:r>
              <w:rPr>
                <w:b/>
              </w:rPr>
              <w:t>122</w:t>
            </w:r>
          </w:p>
        </w:tc>
        <w:tc>
          <w:tcPr>
            <w:tcW w:w="361"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b/>
              </w:rPr>
            </w:pPr>
            <w:r>
              <w:rPr>
                <w:b/>
              </w:rPr>
              <w:t>$</w:t>
            </w:r>
          </w:p>
        </w:tc>
        <w:tc>
          <w:tcPr>
            <w:tcW w:w="889" w:type="dxa"/>
            <w:tcBorders/>
            <w:shd w:fill="CCEEFF" w:val="clear"/>
            <w:vAlign w:val="bottom"/>
          </w:tcPr>
          <w:p>
            <w:pPr>
              <w:pStyle w:val="TableContents"/>
              <w:bidi w:val="0"/>
              <w:spacing w:before="0" w:after="283"/>
              <w:jc w:val="right"/>
              <w:rPr>
                <w:b/>
              </w:rPr>
            </w:pPr>
            <w:r>
              <w:rPr>
                <w:b/>
              </w:rPr>
              <w:t>18</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b/>
              </w:rPr>
            </w:pPr>
            <w:r>
              <w:rPr>
                <w:b/>
              </w:rPr>
              <w:t>$</w:t>
            </w:r>
          </w:p>
        </w:tc>
        <w:tc>
          <w:tcPr>
            <w:tcW w:w="802" w:type="dxa"/>
            <w:tcBorders/>
            <w:shd w:fill="CCEEFF" w:val="clear"/>
            <w:vAlign w:val="bottom"/>
          </w:tcPr>
          <w:p>
            <w:pPr>
              <w:pStyle w:val="TableContents"/>
              <w:bidi w:val="0"/>
              <w:spacing w:before="0" w:after="283"/>
              <w:jc w:val="right"/>
              <w:rPr>
                <w:b/>
              </w:rPr>
            </w:pPr>
            <w:r>
              <w:rPr>
                <w:b/>
              </w:rPr>
              <w:t>211</w:t>
            </w:r>
          </w:p>
        </w:tc>
        <w:tc>
          <w:tcPr>
            <w:tcW w:w="32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b/>
              </w:rPr>
            </w:pPr>
            <w:r>
              <w:rPr>
                <w:b/>
              </w:rPr>
              <w:t>$</w:t>
            </w:r>
          </w:p>
        </w:tc>
        <w:tc>
          <w:tcPr>
            <w:tcW w:w="804" w:type="dxa"/>
            <w:tcBorders/>
            <w:shd w:fill="CCEEFF" w:val="clear"/>
            <w:vAlign w:val="bottom"/>
          </w:tcPr>
          <w:p>
            <w:pPr>
              <w:pStyle w:val="TableContents"/>
              <w:bidi w:val="0"/>
              <w:spacing w:before="0" w:after="283"/>
              <w:jc w:val="right"/>
              <w:rPr>
                <w:b/>
              </w:rPr>
            </w:pPr>
            <w:r>
              <w:rPr>
                <w:b/>
              </w:rPr>
              <w:t>65</w:t>
            </w:r>
          </w:p>
        </w:tc>
        <w:tc>
          <w:tcPr>
            <w:tcW w:w="161"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54"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(3</w:t>
            </w:r>
          </w:p>
        </w:tc>
        <w:tc>
          <w:tcPr>
            <w:tcW w:w="361"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w:t>
            </w:r>
          </w:p>
        </w:tc>
        <w:tc>
          <w:tcPr>
            <w:tcW w:w="32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(10</w:t>
            </w:r>
          </w:p>
        </w:tc>
        <w:tc>
          <w:tcPr>
            <w:tcW w:w="161"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54"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2</w:t>
            </w:r>
          </w:p>
        </w:tc>
        <w:tc>
          <w:tcPr>
            <w:tcW w:w="361"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w:t>
            </w:r>
          </w:p>
        </w:tc>
        <w:tc>
          <w:tcPr>
            <w:tcW w:w="32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27</w:t>
            </w:r>
          </w:p>
        </w:tc>
        <w:tc>
          <w:tcPr>
            <w:tcW w:w="161"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54"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38</w:t>
            </w:r>
          </w:p>
        </w:tc>
        <w:tc>
          <w:tcPr>
            <w:tcW w:w="361"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65</w:t>
            </w:r>
          </w:p>
        </w:tc>
        <w:tc>
          <w:tcPr>
            <w:tcW w:w="32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56</w:t>
            </w:r>
          </w:p>
        </w:tc>
        <w:tc>
          <w:tcPr>
            <w:tcW w:w="161"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54"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2</w:t>
            </w:r>
          </w:p>
        </w:tc>
        <w:tc>
          <w:tcPr>
            <w:tcW w:w="361"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w:t>
            </w:r>
          </w:p>
        </w:tc>
        <w:tc>
          <w:tcPr>
            <w:tcW w:w="32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w:t>
            </w:r>
          </w:p>
        </w:tc>
        <w:tc>
          <w:tcPr>
            <w:tcW w:w="161"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54"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11</w:t>
            </w:r>
          </w:p>
        </w:tc>
        <w:tc>
          <w:tcPr>
            <w:tcW w:w="361"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20</w:t>
            </w:r>
          </w:p>
        </w:tc>
        <w:tc>
          <w:tcPr>
            <w:tcW w:w="32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14</w:t>
            </w:r>
          </w:p>
        </w:tc>
        <w:tc>
          <w:tcPr>
            <w:tcW w:w="161"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initiative transition</w:t>
            </w:r>
          </w:p>
        </w:tc>
        <w:tc>
          <w:tcPr>
            <w:tcW w:w="254"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11</w:t>
            </w:r>
          </w:p>
        </w:tc>
        <w:tc>
          <w:tcPr>
            <w:tcW w:w="361"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26</w:t>
            </w:r>
          </w:p>
        </w:tc>
        <w:tc>
          <w:tcPr>
            <w:tcW w:w="32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w:t>
            </w:r>
          </w:p>
        </w:tc>
        <w:tc>
          <w:tcPr>
            <w:tcW w:w="161"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Times New Roman" w:hAnsi="Times New Roman"/>
                <w:sz w:val="20"/>
              </w:rPr>
            </w:pPr>
            <w:r>
              <w:rPr>
                <w:rFonts w:ascii="Times New Roman" w:hAnsi="Times New Roman"/>
                <w:sz w:val="20"/>
              </w:rPr>
              <w:t>Manufacturing transition</w:t>
            </w:r>
          </w:p>
        </w:tc>
        <w:tc>
          <w:tcPr>
            <w:tcW w:w="254"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2</w:t>
            </w:r>
          </w:p>
        </w:tc>
        <w:tc>
          <w:tcPr>
            <w:tcW w:w="361"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w:t>
            </w:r>
          </w:p>
        </w:tc>
        <w:tc>
          <w:tcPr>
            <w:tcW w:w="32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w:t>
            </w:r>
          </w:p>
        </w:tc>
        <w:tc>
          <w:tcPr>
            <w:tcW w:w="161"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254"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361"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18</w:t>
            </w:r>
          </w:p>
        </w:tc>
        <w:tc>
          <w:tcPr>
            <w:tcW w:w="32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Times New Roman" w:hAnsi="Times New Roman"/>
                <w:sz w:val="20"/>
              </w:rPr>
            </w:pPr>
            <w:r>
              <w:rPr>
                <w:rFonts w:ascii="Times New Roman" w:hAnsi="Times New Roman"/>
                <w:sz w:val="20"/>
              </w:rPr>
              <w:t>Litigation settlement expense</w:t>
            </w:r>
          </w:p>
        </w:tc>
        <w:tc>
          <w:tcPr>
            <w:tcW w:w="254"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361"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32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w:t>
            </w:r>
          </w:p>
        </w:tc>
        <w:tc>
          <w:tcPr>
            <w:tcW w:w="161" w:type="dxa"/>
            <w:tcBorders/>
            <w:vAlign w:val="bottom"/>
          </w:tcPr>
          <w:p>
            <w:pPr>
              <w:pStyle w:val="TableContents"/>
              <w:bidi w:val="0"/>
              <w:spacing w:before="0" w:after="283"/>
              <w:jc w:val="left"/>
              <w:rPr/>
            </w:pPr>
            <w:r>
              <w:rPr/>
              <w:t> </w:t>
            </w:r>
          </w:p>
        </w:tc>
      </w:tr>
      <w:tr>
        <w:trPr/>
        <w:tc>
          <w:tcPr>
            <w:tcW w:w="2522"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254"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b/>
              </w:rPr>
            </w:pPr>
            <w:r>
              <w:rPr>
                <w:b/>
              </w:rPr>
              <w:t>$</w:t>
            </w:r>
          </w:p>
        </w:tc>
        <w:tc>
          <w:tcPr>
            <w:tcW w:w="886" w:type="dxa"/>
            <w:tcBorders/>
            <w:shd w:fill="CCEEFF" w:val="clear"/>
            <w:vAlign w:val="bottom"/>
          </w:tcPr>
          <w:p>
            <w:pPr>
              <w:pStyle w:val="TableContents"/>
              <w:bidi w:val="0"/>
              <w:spacing w:before="0" w:after="283"/>
              <w:jc w:val="right"/>
              <w:rPr>
                <w:b/>
              </w:rPr>
            </w:pPr>
            <w:r>
              <w:rPr>
                <w:b/>
              </w:rPr>
              <w:t>186</w:t>
            </w:r>
          </w:p>
        </w:tc>
        <w:tc>
          <w:tcPr>
            <w:tcW w:w="361"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b/>
              </w:rPr>
            </w:pPr>
            <w:r>
              <w:rPr>
                <w:b/>
              </w:rPr>
              <w:t>$</w:t>
            </w:r>
          </w:p>
        </w:tc>
        <w:tc>
          <w:tcPr>
            <w:tcW w:w="889" w:type="dxa"/>
            <w:tcBorders/>
            <w:shd w:fill="CCEEFF" w:val="clear"/>
            <w:vAlign w:val="bottom"/>
          </w:tcPr>
          <w:p>
            <w:pPr>
              <w:pStyle w:val="TableContents"/>
              <w:bidi w:val="0"/>
              <w:spacing w:before="0" w:after="283"/>
              <w:jc w:val="right"/>
              <w:rPr>
                <w:b/>
              </w:rPr>
            </w:pPr>
            <w:r>
              <w:rPr>
                <w:b/>
              </w:rPr>
              <w:t>88</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b/>
              </w:rPr>
            </w:pPr>
            <w:r>
              <w:rPr>
                <w:b/>
              </w:rPr>
              <w:t>$</w:t>
            </w:r>
          </w:p>
        </w:tc>
        <w:tc>
          <w:tcPr>
            <w:tcW w:w="802" w:type="dxa"/>
            <w:tcBorders/>
            <w:shd w:fill="CCEEFF" w:val="clear"/>
            <w:vAlign w:val="bottom"/>
          </w:tcPr>
          <w:p>
            <w:pPr>
              <w:pStyle w:val="TableContents"/>
              <w:bidi w:val="0"/>
              <w:spacing w:before="0" w:after="283"/>
              <w:jc w:val="right"/>
              <w:rPr>
                <w:b/>
              </w:rPr>
            </w:pPr>
            <w:r>
              <w:rPr>
                <w:b/>
              </w:rPr>
              <w:t>350</w:t>
            </w:r>
          </w:p>
        </w:tc>
        <w:tc>
          <w:tcPr>
            <w:tcW w:w="32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b/>
              </w:rPr>
            </w:pPr>
            <w:r>
              <w:rPr>
                <w:b/>
              </w:rPr>
              <w:t>$</w:t>
            </w:r>
          </w:p>
        </w:tc>
        <w:tc>
          <w:tcPr>
            <w:tcW w:w="804" w:type="dxa"/>
            <w:tcBorders/>
            <w:shd w:fill="CCEEFF" w:val="clear"/>
            <w:vAlign w:val="bottom"/>
          </w:tcPr>
          <w:p>
            <w:pPr>
              <w:pStyle w:val="TableContents"/>
              <w:bidi w:val="0"/>
              <w:spacing w:before="0" w:after="283"/>
              <w:jc w:val="right"/>
              <w:rPr>
                <w:b/>
              </w:rPr>
            </w:pPr>
            <w:r>
              <w:rPr>
                <w:b/>
              </w:rPr>
              <w:t>165</w:t>
            </w:r>
          </w:p>
        </w:tc>
        <w:tc>
          <w:tcPr>
            <w:tcW w:w="161" w:type="dxa"/>
            <w:tcBorders/>
            <w:shd w:fill="CCEEFF" w:val="clear"/>
            <w:vAlign w:val="bottom"/>
          </w:tcPr>
          <w:p>
            <w:pPr>
              <w:pStyle w:val="TableContents"/>
              <w:bidi w:val="0"/>
              <w:spacing w:before="0" w:after="283"/>
              <w:jc w:val="left"/>
              <w:rPr/>
            </w:pPr>
            <w:r>
              <w:rPr/>
              <w:t> </w:t>
            </w:r>
          </w:p>
        </w:tc>
      </w:tr>
      <w:tr>
        <w:trPr/>
        <w:tc>
          <w:tcPr>
            <w:tcW w:w="2522"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 2026 Financial Results August 3, 2026 Indivior, Powering Recovery, Renewing Hope. Exhibit 99.2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IMPORTANT CAUTIONARY STATEMENT REGARDING FORWARD-LOOKING STATEMENTS Q2 2026 Results | August 3, 2026 This presentation contains certain statements that are forward-looking. Forward-looking statements include, among other things, express and implied statements regarding: potential deployment of capital to create long-term value for shareholders, including potential share repurchases and potential business development opportunities and acquisitions of next growth drivers; expected acceleration of SUBLOCADE U.S. dispense unit and net revenue growth throughout 2026; planned initiatives to accelerate SUBLOCADE growth; the Company’s financial guidance for 2026, including total net revenue, SUBLOCADE® net revenue, non-GAAP operating expenses, adjusted EBITDA, and cash flow from operations; planned initiatives to simplify the organization and accelerate Adjusted EBITDA and Cash Flow; anticipated benefits of the proposed merger with Supernus, the expected timing of completion of the proposed merger, estimated costs associated with the proposed merger; and other statements containing the words "believe," "anticipate," "plan," "expect," "intend," "estimate," "forecast," “strategy,” “target,” “guidance,” “outlook,” “potential,” "project," "priority," "may," "will," "should," "would," "could," "can," the negatives thereof, and variations thereon and similar expressions. Actual results may differ materially from those expressed or implied in these forward-looking statements due to a number of factors, including: our ability to identify accretive investment opportunities, to negotiate with third parties to acquire such assets, to obtain necessary regulatory approvals, and to efficiently manage such assets and execute upon opportunities; lower than expected future sales of our products; greater than expected impacts from competition; unanticipated costs including the effects of potential tariffs and potential retaliatory tariffs; whether we are able to identify efficiencies and fund additional investments that we expect to generate increased revenue, and the timing of such actions; market acceptance of long-acting injectables; cash available for share repurchases in the future, and the market price of our common stock in the future; the risk that the proposed merger with Supernus may not be completed on the anticipated timeline or at all; the failure to obtain required stockholder or regulatory approvals for the merger, or the imposition of conditions in connection with such approvals; the restrictions during the pendency of the transaction that may limit the parties' ability to pursue business opportunities or strategic transactions; the risk that the anticipated benefits, synergies, growth, profitability, cash flow generation and earnings accretion of the merger are not realized or are realized more slowly than expected; and the difficulties, costs and risks relating to the integration of the two businesses. For additional information about some of the risks and important factors that could affect our future results and financial condition, see "Risk Factors" in our Annual Report on Form 10-K filed February 26, 2026, and in our other filings with the U.S. Securities and Exchange Commission. Forward-looking statements speak only as of the date that they are made and should be regarded solely as our current plans, estimates and beliefs. Except as required by law, we do not undertake and specifically decline any obligation to update, republish or revise forward-looking statements to reflect future events or circumstances or to reflect the occurrence of unanticipated events.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Important Additional Information and Where to Find It Important Additional Information and Where to Find It 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www.sec.gov. Copies of the documents filed by Indivior with the SEC will be available free of charge on Indivior’s website at www.indivior.com or by contacting Indivior’s Investor Relations at InvestorRelations@indivior.com. Copies of the documents filed by Supernus with the SEC will be available free of charge on Supernus’ website at www.supernus.com. No Offer or Solicitation This communication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 Participants in the Solicitation 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Execution Against the Indivior Action Agenda</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 2026 BUSINESS PERFORMANCE HIGHLIGHTS SUBLOCADE Net Revenue Total Net Revenue Adjusted EBITDA1 Raising Full-Year 2026 Financial Guidance +21% +14% +111% Adjusted EBITDA margin2 1. Adjusted EBITDA is a non-GAAP financial measure. Net income for Q2 2026 and Q2 2025 was $122m and $18m, respectively. See Appendix for the reconciliation to the most comparable GAAP measure. 2. Adjusted EBITDA margin is defined as Adjusted EBITDA divided by Total Net Revenue. Capital Deployment Opportunistically returned value to shareholders through $175m of share repurchases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INDIVIOR ACTION AGENDA I II III Grow U.S. SUBLOCADE net revenue Simplify the organization and establish “go-forward” operating model Determine actions and investments necessary to expand LAI penetration in U.S. BMAT category to accelerate U.S. SUBLOCADE net revenue Accelerate U.S. SUBLOCADE dispense unit and net revenue throughout 2026 Immediately accelerate adjusted EBITDA and cash flow at a faster rate  Phase II – Accelerate (Began Jan. 1st) Leverage strengthened financial profile to acquire next growth drivers Phase III – Breakout (Began July 1st) Phase I – Generate Momentum (Completed) LAI: long-acting injectable. BMAT: buprenorphine medication assisted treatment.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INDIVIOR ACTION AGENDA ACCOMPLISHMENTS Accelerated U.S. SUBLOCADE Non-GAAP operating expenses will not exceed $450m ~$420m in cash flow from operations expected in 20262 Total SUBLOCADE Net Revenue Adjusted EBITDA3 1. Based on the midpoint of the financial guidance ranges provided in Indivior’s earnings press release, included as an exhibit to its Form 8-K furnished with the SEC on August 3, 2026. 2. Excludes cash flows from investing and financing activities. 3. Adjusted EBITDA is a non-GAAP financial measure. See non-GAAP Financial Measures in the Appendix for reconciliation to the most comparable GAAP measures. For non-GAAP guidance Items, the Company has relied upon the exception in Item 10(e)(1)(i)(B) of Regulation S-K to exclude such reconciliations, as the reconciliations of these non-GAAP guidance metrics to their corresponding GAAP equivalents are not available without unreasonable effort; See Appendix for details. 4. Adjusted EBITDA margin is defined as Adjusted EBITDA divided by Total Net Revenue. Simplified the Organization &amp; Accelerated Adjusted EBITDA and Cash Flow Adjusted EBITDA margin4 Expect 20% dispense unit growth in 2026 from 7% in 2025 Improved debt terms with issuance of $500m convertible senior notes Returned $300m in value to shareholders over past year through repurchase of over 8.6m shares at an average price of $34.73 Strengthened Financial Flexibility and Strategically Deployed Capital +20% +68%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III – BREAKOUT: PROPOSED MERGER WITH SUPERNUS Enhances and diversifies growth profile Differentiated portfolio with durable growth into the 2030s Four commercial beachheads Immediate increased scale from significant cost synergies Greater flexibility to pursue growth initiatives Significant value creation for shareholders with upside from potential multiple expansion​ Q2 2026 Results | August 3, 2026 Builds a diversified CNS biopharmaceutical leader ​with significant scale​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SUBLOCADE® Commercial Update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Q2 2026 U.S. SUBLOCADE PERFORMANCE* 1 Trailing twelve months (TTM) estimated patients in treatment (Indivior analytics). 2 Total number of dispenses (new and refill) within the quarter (Indivior analytics). 3 Active count of prescribing HCPs excluding delisted and Specialty HCPs (Indivior analytics). *Some percentages may not calculate due to rounding. HCPs with 5+ SUBLOCADE Patients3 Strong SUBLOCADE Dispense Growth2 Growing SUBLOCADE Prescriber Base3 // +18% YoY +7% QoQ +18% YoY +5% QoQ // // +27% Growth in new patient starts in Q2’26 vs. Q2’25 +18% YoY +4% QoQ U.S. patients prescribed SUBLOCADE since launch &gt;545K 76% SUBLOCADE share of U.S. LAI category TTM SUBLOCADE Patients1 // +17% YoY +4% QoQ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PROGRESS ON SUSTAINED INITIATIVES TO ACCELERATE SUBLOCADE Unlocking Access Through Policy Leadership Advancing state and federal policies that support durable access to increase long-term adoption of LAIs Activating advocates to accelerate access, reduce system barriers and increase awareness Expanding Patient Awareness and Engagement DTC Campaign ("Move Forward in Recovery") driving sustained high-quality patient engagement 1,300+ CRM enrollments per month in Q2’26 34,000+ people utilized the FASTP1 physician locator in Q2’26 Improving Commercial Execution 10% of new patients receiving accelerated second dose exiting Q2’26 25% of active HCPs have begun prescribing an accelerated second dose 5 executed agreements with specialty pharmacy partners that are expected to improve commercial dispense yields 1. FASTP = Find A SUBLOCADE Treatment Provider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 2026 Performance &amp; FY 2026 Guidance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 2026 FINANCIAL HIGHLIGHTS OPERATING RESULTS: KEY TAKEAWAYS: Total Net Revenue (+14% vs. Q2’25) was primarily driven by strong SUBLOCADE net revenue growth in the U.S. (+22% YoY) SUBLOCADE Net Revenue (+21% vs. Q2’25) primarily driven by dispense unit growth (+18% YoY) in the U.S. U.S. SUBOXONE Film Net Revenue benefited from continued generic price stability in the U.S., a credit related to Medicaid rebates (+$8m) and positive gross-to-net adjustments   Total Non-GAAP Operating Expenses1 (-33% vs. Q2’25) primarily reflecting simplification actions executed as part of Phase I of the Indivior Action Agenda – Generate Momentum Adjusted EBITDA3 (+111% vs. Q2’25) reflecting improvement in adjusted EBITDA margin (+25 percentage points) Columns and rows may not foot due to rounding. 1See non-GAAP Financial Measures in the Appendix for reconciliation. 2GAAP Selling, General and Administrative Expenses were $122m in Q2 2026 and $158m in Q2 2025, and GAAP Research and Development expenses were $12m in Q2 2026 and $21m in Q2 2025. 3Adjusted EBITDA is a non-GAAP financial measure. See Appendix for the reconciliation to the most comparable GAAP measure. Adjusted EBITDA margin is defined as Adjusted EBITDA divided by Total Net Revenue. $ mil Q2 2026 Q2 2025  Δ Total Net Revenue (NR): 343 302 14% Total SUBLOCADE NR: 253 209 21% Gross Profit: 294 250 17% Gross Margin 85% 83% +200 bps Non-GAAP Gross Profit: 297 252 18% Non-GAAP Gross Margin1 87% 84% +300 bps Operating Expenses: (134) (179) (25)% Non-GAAP Operating Expenses1: (112) (167) (33)% Non-GAAP Selling, General and Administrative2 (107) (146) (27)% Non-GAAP Research and Development2 (6) (21) (72)% Net Income 122 18 574% Non-GAAP Net Income1 142 64 122% Adjusted EBITDA3 186 88 111% Adj. EBITDA Margin3 54% 29% +2500 bps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RAISING 2026 FINANCIAL GUIDANCE Previous Guidance (4/30/2026) Updated Guidance1 (7/30/2026) YoY Change2 Total Net Revenue $1,215m - $1,285m $1,295m - $1,365m +7% SUBLOCADE Net Revenue $950m - $990m $1,010m - $1,050m +20% Non-GAAP Operating Expenses3 $430m - $450m $430m - $450m -29% Adjusted EBITDA3 $620m - $660m $700m - $740m +68% 1. As of August3, 2026, before certain adjustments and assuming no material change in key FX rates vs. FY 2025 average rates. Financial data provided by Indivior in its earnings press release included as an exhibit to its Form 8-K furnished with the SEC on August 4, 2026. 2. Represents the midpoint of 2026 guidance ranges compared to 2025 actuals. 3. For non-GAAP guidance items, the Company has relied upon the exception in Item 10(e)(1)(i)(B) of Regulation S-K to exclude such reconciliations, as the reconciliations of these non-GAAP guidance metrics to their corresponding GAAP equivalents are not available without unreasonable effort; See Appendix for details.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2026 CAPITAL DEPLOYMENT $249m in cash and investments as of 6/30/26 ~$420m Expected cash flow from operations expected in 20261 DEBT MANAGEMENT In March 2026, completed offering of $500m convertible senior notes due in 2031; proceeds used to repay $333m term loan SHARE REPURCHASES In Q2’26, repurchased ~4.7m shares at an average price of $37.52 for total of $175m BUSINESS DEVELOPMENT Announced proposed merger with Supernus; transaction expected to close in Q4’26 1. Excludes cash flows from investing and financing activities.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Conclusion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FOCUSED ON SUCCESSFULLY COMPLETING ALL 3 PHASES OF THE INDIVIOR ACTION AGENDA Deliver on financial and operational commitments Close transaction with Supernus to create long-term value for shareholders Execute Phase II – Accelerate SUBLOCADE Q2 2026 Results | August 3,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Appendix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Non-GAAP Gross Profit Reconciliation Three Months Ended June 30, Six Months Ended June 30, 2026 2025 2026 2025 GAAP gross profit $294 $250 $570 $472 Adjustments within cost of sales: Manufacturing transition 2 2 3 2 Corporate initiative transition 2 — 2 — Plus: Adjustments in cost of sales 4 2 5 2 Non-GAAP Gross Profit $297 $252 $576 $474 Columns may not foot due to rounding.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Three Months Ended June 30, Six Months Ended June 30, 2026 2025 2026 2025 GAAP operating expenses $134 $179 $273 $334 Stock-based compensation 11 8 20 14 Corporate initiative transition 10 4 24 5 Litigation settlement expense — — — 1 Less: Adjustments in operating expenses 22 12 45 20 Non-GAAP operating expenses $112 $167 $229 $313 Columns may not foot due to rounding. Non-GAAP Operating Expenses Reconciliation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Three Months Ended June 30, Six Months Ended June 30, 2026 2025 2026 2025 GAAP selling, general and administrative expenses $122 $158 $245 $291 Adjustments within SG&amp;A Stock-based compensation 11 8 20 14 Corporate initiative transition 4 4 10 5 Litigation settlement expenses — — — 1 Less: Adjustments in selling, general and administrative expenses 15 12 31 20 Non-GAAP selling, general and administrative expenses $107 $146 $214 $270 Columns may not foot due to rounding. Non-GAAP SG&amp;A Reconciliation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Three Months Ended June 30, Six Months Ended June 30, 2026 2025 2026 2025 GAAP research and development expenses $12 $21 $28 $43 Adjustments within R&amp;D Corporate initiative transition 6 — 14 — Less: Adjustments in research and development expenses 6 — 14 — Non-GAAP research and development expenses $6 $21 $15 $43 Columns may not foot due to rounding. Non-GAAP Research &amp; Development Reconciliation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Three Months Ended June 30, Six Months Ended June 30, 2026 2025 2026 2025 GAAP net income $122 $18 $211 $65 Adjustments in cost of sales1 4 2 5 2 Adjustments in operating expenses 22 12 45 20 Adjustments in interest expense — 4 — 4 Loss on debt extinguishment — — 18 — Adjustments in tax expenses (5) 28 (14) 29 Non-GAAP net income $142 $64 $266 $121 Shares used in computing diluted non-GAAP earnings per share 124 126 127 125 Non-GAAP diluted earnings per share $1.15 $0.51 $2.10 $0.96 1Includes manufacturing transition and other costs Non-GAAP diluted earnings per share Management believes that non-GAAP diluted earnings per share, adjusted for the impact of non-recurring items and other adjustments after the appropriate tax amount, may provide meaningful information on underlying trends to shareholders in respect of earnings per ordinary share. Weighted average shares used in computing non-GAAP diluted earnings per share are included in the table above. A reconciliation of GAAP net income to non-GAAP net income is included above. Columns may not foot due to rounding. Non-GAAP Net Income Reconciliation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Three Months Ended June 30, Six Months Ended June 30, 2026 2025 2026 2025 Net income $122 $18 $211 $65 Interest (income) (3) (6) (5) (10) Interest expense 2 15 9 27 Income tax expense 38 44 65 56 Depreciation and amortization 2 3 4 5 Stock-based compensation 11 8 20 14 Corporate initiative transition 11 4 26 5 Manufacturing transition 2 2 4 2 Loss on debt extinguishment — — 18 — Litigation settlement expense — — — 1 Adjusted EBITDA $186 $88 $350 $165 Adjusted EBITDA Adjusted EBITDA is a non-GAAP financial measure that represents GAAP net income adjusted to exclude interest expense, interest income, income tax expense or benefit, depreciation and amortization, stock-based compensation, and other adjustments reflecting changes in our business that do not represent ongoing operations. Adjusted EBITDA, as used by us, may be calculated differently from, and therefore may not be comparable to, similarly titled measures used by other companies. Columns may not foot due to rounding. Adjusted EBITDA Reconciliation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SUBLOCADE® (buprenorphine extended-release) injection, for subcutaneous use (CIII) INDICATION SUBLOCADE is indicated for the treatment of moderate to severe opioid use disorder in patients who have initiated treatment with a single dose of a transmucosal buprenorphine product or who are already being treated with buprenorphine. SUBLOCADE should be used as part of a complete treatment plan that includes counseling and psychosocial support. HIGHLIGHTED SAFETY INFORMATION WARNING: RISK OF SERIOUS HARM OR DEATH WITH INTRAVENOUS ADMINISTRATION; SUBLOCADE RISK EVALUATION AND MITIGATION STRATEGY See full prescribing information for complete boxed warning. Serious harm or death could result if administered intravenously. SUBLOCADE is only available through a restricted program called the SUBLOCADE REMS Program. Healthcare settings and pharmacies that order and dispense SUBLOCADE must be certified in this program and comply with the REMS requirements.    CONTRAINDICATIONS Hypersensitivity to buprenorphine or any other ingredients in SUBLOCADE. WARNINGS AND PRECAUTIONS Addiction, Abuse, and Misuse: SUBLOCADE contains buprenorphine, a Schedule III controlled substance that can be abused in a manner similar to other opioids. Monitor patients for conditions indicative of diversion or progression of opioid dependence and addictive behaviors.   Respiratory Depression: Life threatening respiratory depression and death have occurred in association with buprenorphine. Warn patients of the potential danger of self-administration of benzodiazepines or other CNS depressants while under treatment with SUBLOCADE. Risk of Serious Injection Site Reactions: Likelihood of serious injection site reactions may increase with inadvertent intramuscular or intradermal administration. Evaluate and treat as appropriate. The most common injection site reactions are pain, erythema and pruritus with some involving abscess, ulceration and necrosis.   Neonatal Opioid Withdrawal Syndrome: Neonatal opioid withdrawal syndrome (NOWS) is an expected and treatable outcome of prolonged use of opioids during pregnancy.   Adrenal Insufficiency: If diagnosed, treat with physiologic replacement of corticosteroids, and wean patient off the opioid.   Risk of Opioid Withdrawal With Abrupt Discontinuation: If treatment with SUBLOCADE is discontinued, monitor patients for several months for withdrawal and treat appropriately.   Risk of Hepatitis, Hepatic Events: Monitor liver function tests prior to and during treatment.   Risk of Withdrawal in Patients Dependent on Full Agonist Opioids: Verify that patients have tolerated transmucosal buprenorphine before injecting SUBLOCADE.   Treatment of Emergent Acute Pain: Treat pain with a non-opioid analgesic whenever possible. If opioid therapy is required, monitor patients closely because higher doses may be required for analgesic effect.   ADVERSE REACTIONS Adverse reactions commonly associated with SUBLOCADE (in ≥5% of subjects) were constipation, headache, nausea, injection site pruritus, vomiting, increased hepatic enzymes, fatigue, and injection site pain.   For more information about SUBLOCADE, the full Prescribing Information including BOXED WARNING, and Medication Guide, visit www.sublocade.com.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7534</Words>
  <Characters>42257</Characters>
  <CharactersWithSpaces>51315</CharactersWithSpaces>
  <Paragraphs>2426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